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41B549" w14:textId="77BE0F04" w:rsidR="00B86DE4" w:rsidRDefault="00B86DE4" w:rsidP="00B86DE4">
      <w:pPr>
        <w:jc w:val="center"/>
        <w:rPr>
          <w:b/>
          <w:sz w:val="28"/>
          <w:szCs w:val="28"/>
        </w:rPr>
      </w:pPr>
      <w:r w:rsidRPr="00C45E13">
        <w:rPr>
          <w:b/>
          <w:sz w:val="28"/>
          <w:szCs w:val="28"/>
        </w:rPr>
        <w:t xml:space="preserve">Scaling, </w:t>
      </w:r>
      <w:r>
        <w:rPr>
          <w:b/>
          <w:sz w:val="28"/>
          <w:szCs w:val="28"/>
        </w:rPr>
        <w:t>F</w:t>
      </w:r>
      <w:r w:rsidRPr="00C45E13">
        <w:rPr>
          <w:b/>
          <w:sz w:val="28"/>
          <w:szCs w:val="28"/>
        </w:rPr>
        <w:t xml:space="preserve">ast and </w:t>
      </w:r>
      <w:r>
        <w:rPr>
          <w:b/>
          <w:sz w:val="28"/>
          <w:szCs w:val="28"/>
        </w:rPr>
        <w:t>S</w:t>
      </w:r>
      <w:r w:rsidRPr="00C45E13">
        <w:rPr>
          <w:b/>
          <w:sz w:val="28"/>
          <w:szCs w:val="28"/>
        </w:rPr>
        <w:t xml:space="preserve">low:  </w:t>
      </w:r>
    </w:p>
    <w:p w14:paraId="52D49AA5" w14:textId="77777777" w:rsidR="00B86DE4" w:rsidRPr="00C45E13" w:rsidRDefault="00B86DE4" w:rsidP="00B86DE4">
      <w:pPr>
        <w:jc w:val="center"/>
        <w:rPr>
          <w:b/>
          <w:sz w:val="28"/>
          <w:szCs w:val="28"/>
        </w:rPr>
      </w:pPr>
      <w:r>
        <w:rPr>
          <w:b/>
          <w:sz w:val="28"/>
          <w:szCs w:val="28"/>
        </w:rPr>
        <w:t>T</w:t>
      </w:r>
      <w:r w:rsidRPr="00C45E13">
        <w:rPr>
          <w:b/>
          <w:sz w:val="28"/>
          <w:szCs w:val="28"/>
        </w:rPr>
        <w:t xml:space="preserve">he </w:t>
      </w:r>
      <w:r>
        <w:rPr>
          <w:b/>
          <w:sz w:val="28"/>
          <w:szCs w:val="28"/>
        </w:rPr>
        <w:t>I</w:t>
      </w:r>
      <w:r w:rsidRPr="00C45E13">
        <w:rPr>
          <w:b/>
          <w:sz w:val="28"/>
          <w:szCs w:val="28"/>
        </w:rPr>
        <w:t xml:space="preserve">nternationalization of </w:t>
      </w:r>
      <w:r>
        <w:rPr>
          <w:b/>
          <w:sz w:val="28"/>
          <w:szCs w:val="28"/>
        </w:rPr>
        <w:t>D</w:t>
      </w:r>
      <w:r w:rsidRPr="00C45E13">
        <w:rPr>
          <w:b/>
          <w:sz w:val="28"/>
          <w:szCs w:val="28"/>
        </w:rPr>
        <w:t xml:space="preserve">igital </w:t>
      </w:r>
      <w:r>
        <w:rPr>
          <w:b/>
          <w:sz w:val="28"/>
          <w:szCs w:val="28"/>
        </w:rPr>
        <w:t>V</w:t>
      </w:r>
      <w:r w:rsidRPr="00C45E13">
        <w:rPr>
          <w:b/>
          <w:sz w:val="28"/>
          <w:szCs w:val="28"/>
        </w:rPr>
        <w:t>entures</w:t>
      </w:r>
    </w:p>
    <w:p w14:paraId="413D7FC9" w14:textId="7B302E28" w:rsidR="00B86DE4" w:rsidRDefault="00B86DE4" w:rsidP="00B86DE4"/>
    <w:p w14:paraId="0267A42E" w14:textId="5D121EB3" w:rsidR="00B86DE4" w:rsidRDefault="00B86DE4" w:rsidP="00B86DE4"/>
    <w:p w14:paraId="1B309665" w14:textId="2AB21D1B" w:rsidR="00B86DE4" w:rsidRDefault="00B86DE4" w:rsidP="00B86DE4">
      <w:pPr>
        <w:jc w:val="center"/>
        <w:rPr>
          <w:color w:val="FF0000"/>
        </w:rPr>
      </w:pPr>
      <w:r>
        <w:rPr>
          <w:color w:val="FF0000"/>
        </w:rPr>
        <w:t>Note: This is a pre-print version of the published article in the Journal of Business Research.</w:t>
      </w:r>
    </w:p>
    <w:p w14:paraId="0E135A1F" w14:textId="035E089E" w:rsidR="00B86DE4" w:rsidRDefault="00B86DE4" w:rsidP="00B86DE4">
      <w:pPr>
        <w:jc w:val="center"/>
        <w:rPr>
          <w:color w:val="FF0000"/>
        </w:rPr>
      </w:pPr>
      <w:r>
        <w:rPr>
          <w:color w:val="FF0000"/>
        </w:rPr>
        <w:t>For complete citation, please use:</w:t>
      </w:r>
    </w:p>
    <w:p w14:paraId="720FFEB0" w14:textId="668F88FA" w:rsidR="00B86DE4" w:rsidRDefault="00B86DE4" w:rsidP="00B86DE4">
      <w:pPr>
        <w:jc w:val="center"/>
      </w:pPr>
      <w:r w:rsidRPr="00B86DE4">
        <w:t xml:space="preserve">Stallkamp, M., Hunt, R.A. &amp; Schotter, P.J. (2022). Scaling, fast and slow: The internationalization of digital ventures. </w:t>
      </w:r>
      <w:r w:rsidRPr="00B86DE4">
        <w:rPr>
          <w:i/>
          <w:iCs/>
        </w:rPr>
        <w:t>Journal of Business Research.</w:t>
      </w:r>
      <w:r w:rsidRPr="00B86DE4">
        <w:t xml:space="preserve"> In print.</w:t>
      </w:r>
    </w:p>
    <w:p w14:paraId="2B86C300" w14:textId="6BF3AB38" w:rsidR="00B86DE4" w:rsidRDefault="00B86DE4" w:rsidP="00B86DE4">
      <w:pPr>
        <w:jc w:val="center"/>
      </w:pPr>
    </w:p>
    <w:p w14:paraId="7DFC6379" w14:textId="77777777" w:rsidR="00B86DE4" w:rsidRPr="00B86DE4" w:rsidRDefault="00B86DE4" w:rsidP="00B86DE4">
      <w:pPr>
        <w:jc w:val="center"/>
      </w:pPr>
    </w:p>
    <w:p w14:paraId="6F5C25AC" w14:textId="77777777" w:rsidR="00B86DE4" w:rsidRDefault="00B86DE4" w:rsidP="00B86DE4"/>
    <w:p w14:paraId="3D1E27A7" w14:textId="31F4088A" w:rsidR="00B86DE4" w:rsidRPr="00CA3D4B" w:rsidRDefault="00B86DE4" w:rsidP="00B86DE4">
      <w:pPr>
        <w:jc w:val="center"/>
        <w:rPr>
          <w:b/>
          <w:sz w:val="22"/>
          <w:szCs w:val="22"/>
        </w:rPr>
      </w:pPr>
      <w:r w:rsidRPr="00CA3D4B">
        <w:rPr>
          <w:b/>
          <w:sz w:val="22"/>
          <w:szCs w:val="22"/>
        </w:rPr>
        <w:t>Maximilian Stallkamp</w:t>
      </w:r>
    </w:p>
    <w:p w14:paraId="48E4085C" w14:textId="77777777" w:rsidR="00B86DE4" w:rsidRPr="00CA3D4B" w:rsidRDefault="00B86DE4" w:rsidP="00B86DE4">
      <w:pPr>
        <w:jc w:val="center"/>
        <w:rPr>
          <w:bCs/>
          <w:sz w:val="22"/>
          <w:szCs w:val="22"/>
        </w:rPr>
      </w:pPr>
      <w:r w:rsidRPr="00CA3D4B">
        <w:rPr>
          <w:bCs/>
          <w:sz w:val="22"/>
          <w:szCs w:val="22"/>
        </w:rPr>
        <w:t>Assistant Professor</w:t>
      </w:r>
    </w:p>
    <w:p w14:paraId="6F219154" w14:textId="77777777" w:rsidR="00B86DE4" w:rsidRPr="00CA3D4B" w:rsidRDefault="00B86DE4" w:rsidP="00B86DE4">
      <w:pPr>
        <w:jc w:val="center"/>
        <w:rPr>
          <w:bCs/>
          <w:sz w:val="22"/>
          <w:szCs w:val="22"/>
        </w:rPr>
      </w:pPr>
      <w:r w:rsidRPr="00CA3D4B">
        <w:rPr>
          <w:bCs/>
          <w:sz w:val="22"/>
          <w:szCs w:val="22"/>
        </w:rPr>
        <w:t>Pamplin College of Business</w:t>
      </w:r>
    </w:p>
    <w:p w14:paraId="75D13089" w14:textId="77777777" w:rsidR="00B86DE4" w:rsidRPr="00CA3D4B" w:rsidRDefault="00B86DE4" w:rsidP="00B86DE4">
      <w:pPr>
        <w:jc w:val="center"/>
        <w:rPr>
          <w:bCs/>
          <w:sz w:val="22"/>
          <w:szCs w:val="22"/>
        </w:rPr>
      </w:pPr>
      <w:r w:rsidRPr="00CA3D4B">
        <w:rPr>
          <w:bCs/>
          <w:sz w:val="22"/>
          <w:szCs w:val="22"/>
        </w:rPr>
        <w:t>Virginia Tech</w:t>
      </w:r>
    </w:p>
    <w:p w14:paraId="753FDCB2" w14:textId="77777777" w:rsidR="00B86DE4" w:rsidRPr="00CA3D4B" w:rsidRDefault="00B86DE4" w:rsidP="00B86DE4">
      <w:pPr>
        <w:jc w:val="center"/>
        <w:rPr>
          <w:bCs/>
          <w:sz w:val="22"/>
          <w:szCs w:val="22"/>
        </w:rPr>
      </w:pPr>
      <w:r w:rsidRPr="00CA3D4B">
        <w:rPr>
          <w:bCs/>
          <w:sz w:val="22"/>
          <w:szCs w:val="22"/>
        </w:rPr>
        <w:t>Blacksburg, USA</w:t>
      </w:r>
    </w:p>
    <w:p w14:paraId="2E028C48" w14:textId="77777777" w:rsidR="00B86DE4" w:rsidRDefault="007C36FF" w:rsidP="00B86DE4">
      <w:pPr>
        <w:jc w:val="center"/>
        <w:rPr>
          <w:bCs/>
          <w:sz w:val="22"/>
          <w:szCs w:val="22"/>
        </w:rPr>
      </w:pPr>
      <w:hyperlink r:id="rId8" w:history="1">
        <w:r w:rsidR="00B86DE4" w:rsidRPr="00D37A65">
          <w:rPr>
            <w:rStyle w:val="Hyperlink"/>
            <w:bCs/>
            <w:sz w:val="22"/>
            <w:szCs w:val="22"/>
          </w:rPr>
          <w:t>mstallkamp@vt.edu</w:t>
        </w:r>
      </w:hyperlink>
    </w:p>
    <w:p w14:paraId="32CC6420" w14:textId="77777777" w:rsidR="00B86DE4" w:rsidRDefault="00B86DE4" w:rsidP="00B86DE4">
      <w:pPr>
        <w:jc w:val="center"/>
        <w:rPr>
          <w:bCs/>
          <w:sz w:val="22"/>
          <w:szCs w:val="22"/>
        </w:rPr>
      </w:pPr>
    </w:p>
    <w:p w14:paraId="6629DB6A" w14:textId="77777777" w:rsidR="00B86DE4" w:rsidRPr="00AC22EB" w:rsidRDefault="00B86DE4" w:rsidP="00B86DE4">
      <w:pPr>
        <w:jc w:val="center"/>
        <w:rPr>
          <w:b/>
          <w:sz w:val="22"/>
          <w:szCs w:val="22"/>
        </w:rPr>
      </w:pPr>
      <w:r w:rsidRPr="00AC22EB">
        <w:rPr>
          <w:b/>
          <w:sz w:val="22"/>
          <w:szCs w:val="22"/>
        </w:rPr>
        <w:t>Richard A. Hunt</w:t>
      </w:r>
    </w:p>
    <w:p w14:paraId="6ED36FC2" w14:textId="6E10E4B8" w:rsidR="00B86DE4" w:rsidRPr="00AC22EB" w:rsidRDefault="00D36141" w:rsidP="00B86DE4">
      <w:pPr>
        <w:jc w:val="center"/>
        <w:rPr>
          <w:bCs/>
          <w:sz w:val="22"/>
          <w:szCs w:val="22"/>
        </w:rPr>
      </w:pPr>
      <w:r>
        <w:rPr>
          <w:bCs/>
          <w:sz w:val="22"/>
          <w:szCs w:val="22"/>
        </w:rPr>
        <w:t>Associate</w:t>
      </w:r>
      <w:r w:rsidR="00B86DE4" w:rsidRPr="00AC22EB">
        <w:rPr>
          <w:bCs/>
          <w:sz w:val="22"/>
          <w:szCs w:val="22"/>
        </w:rPr>
        <w:t xml:space="preserve"> Professor</w:t>
      </w:r>
    </w:p>
    <w:p w14:paraId="40736827" w14:textId="77777777" w:rsidR="00B86DE4" w:rsidRPr="00AC22EB" w:rsidRDefault="00B86DE4" w:rsidP="00B86DE4">
      <w:pPr>
        <w:jc w:val="center"/>
        <w:rPr>
          <w:bCs/>
          <w:sz w:val="22"/>
          <w:szCs w:val="22"/>
        </w:rPr>
      </w:pPr>
      <w:r w:rsidRPr="00AC22EB">
        <w:rPr>
          <w:bCs/>
          <w:sz w:val="22"/>
          <w:szCs w:val="22"/>
        </w:rPr>
        <w:t>Research Director of the Apex Center for Entrepreneurs</w:t>
      </w:r>
    </w:p>
    <w:p w14:paraId="266F719E" w14:textId="77777777" w:rsidR="00B86DE4" w:rsidRDefault="00B86DE4" w:rsidP="00B86DE4">
      <w:pPr>
        <w:jc w:val="center"/>
        <w:rPr>
          <w:bCs/>
          <w:sz w:val="22"/>
          <w:szCs w:val="22"/>
        </w:rPr>
      </w:pPr>
      <w:r w:rsidRPr="00AC22EB">
        <w:rPr>
          <w:bCs/>
          <w:sz w:val="22"/>
          <w:szCs w:val="22"/>
        </w:rPr>
        <w:t>Pamplin College of Business</w:t>
      </w:r>
    </w:p>
    <w:p w14:paraId="1C667EE3" w14:textId="77777777" w:rsidR="00B86DE4" w:rsidRPr="00CA3D4B" w:rsidRDefault="00B86DE4" w:rsidP="00B86DE4">
      <w:pPr>
        <w:jc w:val="center"/>
        <w:rPr>
          <w:bCs/>
          <w:sz w:val="22"/>
          <w:szCs w:val="22"/>
        </w:rPr>
      </w:pPr>
      <w:r w:rsidRPr="00CA3D4B">
        <w:rPr>
          <w:bCs/>
          <w:sz w:val="22"/>
          <w:szCs w:val="22"/>
        </w:rPr>
        <w:t>Virginia Tech</w:t>
      </w:r>
    </w:p>
    <w:p w14:paraId="231E7EB1" w14:textId="77777777" w:rsidR="00B86DE4" w:rsidRDefault="00B86DE4" w:rsidP="00B86DE4">
      <w:pPr>
        <w:jc w:val="center"/>
        <w:rPr>
          <w:bCs/>
          <w:sz w:val="22"/>
          <w:szCs w:val="22"/>
        </w:rPr>
      </w:pPr>
      <w:r w:rsidRPr="00CA3D4B">
        <w:rPr>
          <w:bCs/>
          <w:sz w:val="22"/>
          <w:szCs w:val="22"/>
        </w:rPr>
        <w:t>Blacksburg, USA</w:t>
      </w:r>
    </w:p>
    <w:p w14:paraId="63EF16ED" w14:textId="77777777" w:rsidR="00B86DE4" w:rsidRDefault="007C36FF" w:rsidP="00B86DE4">
      <w:pPr>
        <w:jc w:val="center"/>
        <w:rPr>
          <w:bCs/>
          <w:sz w:val="22"/>
          <w:szCs w:val="22"/>
        </w:rPr>
      </w:pPr>
      <w:hyperlink r:id="rId9" w:history="1">
        <w:r w:rsidR="00B86DE4" w:rsidRPr="00D37A65">
          <w:rPr>
            <w:rStyle w:val="Hyperlink"/>
            <w:bCs/>
            <w:sz w:val="22"/>
            <w:szCs w:val="22"/>
          </w:rPr>
          <w:t>rickhunt@vt.edu</w:t>
        </w:r>
      </w:hyperlink>
    </w:p>
    <w:p w14:paraId="664F7F00" w14:textId="77777777" w:rsidR="00B86DE4" w:rsidRDefault="00B86DE4" w:rsidP="00B86DE4">
      <w:pPr>
        <w:jc w:val="center"/>
        <w:rPr>
          <w:bCs/>
          <w:sz w:val="22"/>
          <w:szCs w:val="22"/>
        </w:rPr>
      </w:pPr>
    </w:p>
    <w:p w14:paraId="12C81B57" w14:textId="77777777" w:rsidR="00B86DE4" w:rsidRDefault="00B86DE4" w:rsidP="00B86DE4">
      <w:pPr>
        <w:jc w:val="center"/>
        <w:rPr>
          <w:b/>
          <w:sz w:val="22"/>
          <w:szCs w:val="22"/>
        </w:rPr>
      </w:pPr>
      <w:r w:rsidRPr="00AB1C8E">
        <w:rPr>
          <w:b/>
          <w:sz w:val="22"/>
          <w:szCs w:val="22"/>
        </w:rPr>
        <w:t xml:space="preserve">Andreas </w:t>
      </w:r>
      <w:r>
        <w:rPr>
          <w:b/>
          <w:sz w:val="22"/>
          <w:szCs w:val="22"/>
        </w:rPr>
        <w:t xml:space="preserve">P. J. </w:t>
      </w:r>
      <w:r w:rsidRPr="00AB1C8E">
        <w:rPr>
          <w:b/>
          <w:sz w:val="22"/>
          <w:szCs w:val="22"/>
        </w:rPr>
        <w:t>Schotter</w:t>
      </w:r>
    </w:p>
    <w:p w14:paraId="21CD8125" w14:textId="77777777" w:rsidR="00B86DE4" w:rsidRPr="00CA3D4B" w:rsidRDefault="00B86DE4" w:rsidP="00B86DE4">
      <w:pPr>
        <w:jc w:val="center"/>
        <w:rPr>
          <w:bCs/>
          <w:sz w:val="22"/>
          <w:szCs w:val="22"/>
        </w:rPr>
      </w:pPr>
      <w:r w:rsidRPr="00CA3D4B">
        <w:rPr>
          <w:bCs/>
          <w:sz w:val="22"/>
          <w:szCs w:val="22"/>
        </w:rPr>
        <w:t>Associate Professor</w:t>
      </w:r>
    </w:p>
    <w:p w14:paraId="63E0262E" w14:textId="77777777" w:rsidR="00B86DE4" w:rsidRPr="00CA3D4B" w:rsidRDefault="00B86DE4" w:rsidP="00B86DE4">
      <w:pPr>
        <w:jc w:val="center"/>
        <w:rPr>
          <w:bCs/>
          <w:sz w:val="22"/>
          <w:szCs w:val="22"/>
        </w:rPr>
      </w:pPr>
      <w:r w:rsidRPr="00CA3D4B">
        <w:rPr>
          <w:bCs/>
          <w:sz w:val="22"/>
          <w:szCs w:val="22"/>
        </w:rPr>
        <w:t>Ivey Business School</w:t>
      </w:r>
    </w:p>
    <w:p w14:paraId="2925A654" w14:textId="77777777" w:rsidR="00B86DE4" w:rsidRPr="00CA3D4B" w:rsidRDefault="00B86DE4" w:rsidP="00B86DE4">
      <w:pPr>
        <w:jc w:val="center"/>
        <w:rPr>
          <w:bCs/>
          <w:sz w:val="22"/>
          <w:szCs w:val="22"/>
        </w:rPr>
      </w:pPr>
      <w:r w:rsidRPr="00CA3D4B">
        <w:rPr>
          <w:bCs/>
          <w:sz w:val="22"/>
          <w:szCs w:val="22"/>
        </w:rPr>
        <w:t>Western University</w:t>
      </w:r>
    </w:p>
    <w:p w14:paraId="246AA269" w14:textId="77777777" w:rsidR="00B86DE4" w:rsidRPr="00CA3D4B" w:rsidRDefault="00B86DE4" w:rsidP="00B86DE4">
      <w:pPr>
        <w:jc w:val="center"/>
        <w:rPr>
          <w:bCs/>
          <w:sz w:val="22"/>
          <w:szCs w:val="22"/>
        </w:rPr>
      </w:pPr>
      <w:r w:rsidRPr="00CA3D4B">
        <w:rPr>
          <w:bCs/>
          <w:sz w:val="22"/>
          <w:szCs w:val="22"/>
        </w:rPr>
        <w:t>London, Canada</w:t>
      </w:r>
    </w:p>
    <w:p w14:paraId="29E54AF8" w14:textId="77777777" w:rsidR="00B86DE4" w:rsidRDefault="007C36FF" w:rsidP="00B86DE4">
      <w:pPr>
        <w:jc w:val="center"/>
        <w:rPr>
          <w:bCs/>
          <w:sz w:val="22"/>
          <w:szCs w:val="22"/>
        </w:rPr>
      </w:pPr>
      <w:hyperlink r:id="rId10" w:history="1">
        <w:r w:rsidR="00B86DE4" w:rsidRPr="00D37A65">
          <w:rPr>
            <w:rStyle w:val="Hyperlink"/>
            <w:bCs/>
            <w:sz w:val="22"/>
            <w:szCs w:val="22"/>
          </w:rPr>
          <w:t>aschotter@ivey.ca</w:t>
        </w:r>
      </w:hyperlink>
    </w:p>
    <w:p w14:paraId="5C79E81B" w14:textId="77777777" w:rsidR="00B86DE4" w:rsidRDefault="00B86DE4" w:rsidP="00B86DE4">
      <w:pPr>
        <w:rPr>
          <w:bCs/>
          <w:sz w:val="22"/>
          <w:szCs w:val="22"/>
        </w:rPr>
      </w:pPr>
    </w:p>
    <w:p w14:paraId="4BCA2FBF" w14:textId="77777777" w:rsidR="00B86DE4" w:rsidRDefault="00B86DE4" w:rsidP="00B86DE4"/>
    <w:p w14:paraId="2696875B" w14:textId="56811AF5" w:rsidR="00B86DE4" w:rsidRDefault="00B86DE4" w:rsidP="00B86DE4">
      <w:pPr>
        <w:jc w:val="center"/>
      </w:pPr>
    </w:p>
    <w:p w14:paraId="77D38725" w14:textId="77777777" w:rsidR="00B86DE4" w:rsidRDefault="00B86DE4" w:rsidP="00B86DE4"/>
    <w:p w14:paraId="08F49586" w14:textId="77777777" w:rsidR="00B86DE4" w:rsidRPr="00AB0837" w:rsidRDefault="00B86DE4" w:rsidP="00B86DE4">
      <w:pPr>
        <w:jc w:val="both"/>
        <w:rPr>
          <w:lang w:val="en-CA"/>
        </w:rPr>
      </w:pPr>
      <w:r w:rsidRPr="00AB0837">
        <w:rPr>
          <w:b/>
          <w:lang w:val="en-CA"/>
        </w:rPr>
        <w:t>KEY WORDS</w:t>
      </w:r>
      <w:r w:rsidRPr="00AB0837">
        <w:rPr>
          <w:lang w:val="en-CA"/>
        </w:rPr>
        <w:t>: digitalization, internationalization, international entrepreneurship, new market entry</w:t>
      </w:r>
    </w:p>
    <w:p w14:paraId="2A18EB8E" w14:textId="77777777" w:rsidR="00B86DE4" w:rsidRDefault="00B86DE4" w:rsidP="00B86DE4"/>
    <w:p w14:paraId="794BED54" w14:textId="171CD4BC" w:rsidR="00B86DE4" w:rsidRDefault="00B86DE4">
      <w:pPr>
        <w:rPr>
          <w:b/>
          <w:sz w:val="28"/>
          <w:szCs w:val="28"/>
        </w:rPr>
      </w:pPr>
      <w:r>
        <w:rPr>
          <w:b/>
          <w:sz w:val="28"/>
          <w:szCs w:val="28"/>
        </w:rPr>
        <w:br w:type="page"/>
      </w:r>
    </w:p>
    <w:p w14:paraId="4819DFE0" w14:textId="77777777" w:rsidR="00A466E5" w:rsidRDefault="00A466E5" w:rsidP="00A93F66">
      <w:pPr>
        <w:jc w:val="center"/>
        <w:rPr>
          <w:b/>
          <w:sz w:val="28"/>
          <w:szCs w:val="28"/>
        </w:rPr>
      </w:pPr>
    </w:p>
    <w:p w14:paraId="10B4DCF0" w14:textId="515313EC" w:rsidR="006674F9" w:rsidRPr="008931C1" w:rsidRDefault="00B86DE4" w:rsidP="008931C1">
      <w:pPr>
        <w:jc w:val="center"/>
        <w:rPr>
          <w:b/>
          <w:sz w:val="28"/>
          <w:szCs w:val="28"/>
        </w:rPr>
      </w:pPr>
      <w:r w:rsidRPr="00C45E13">
        <w:rPr>
          <w:b/>
          <w:sz w:val="28"/>
          <w:szCs w:val="28"/>
        </w:rPr>
        <w:t xml:space="preserve">SCALING, </w:t>
      </w:r>
      <w:r>
        <w:rPr>
          <w:b/>
          <w:sz w:val="28"/>
          <w:szCs w:val="28"/>
        </w:rPr>
        <w:t>F</w:t>
      </w:r>
      <w:r w:rsidRPr="00C45E13">
        <w:rPr>
          <w:b/>
          <w:sz w:val="28"/>
          <w:szCs w:val="28"/>
        </w:rPr>
        <w:t xml:space="preserve">AST AND </w:t>
      </w:r>
      <w:r>
        <w:rPr>
          <w:b/>
          <w:sz w:val="28"/>
          <w:szCs w:val="28"/>
        </w:rPr>
        <w:t>S</w:t>
      </w:r>
      <w:r w:rsidRPr="00C45E13">
        <w:rPr>
          <w:b/>
          <w:sz w:val="28"/>
          <w:szCs w:val="28"/>
        </w:rPr>
        <w:t xml:space="preserve">LOW:  </w:t>
      </w:r>
      <w:r w:rsidR="00F934D6" w:rsidRPr="00C45E13">
        <w:rPr>
          <w:b/>
          <w:sz w:val="28"/>
          <w:szCs w:val="28"/>
        </w:rPr>
        <w:t xml:space="preserve">THE </w:t>
      </w:r>
      <w:r w:rsidR="00F934D6">
        <w:rPr>
          <w:b/>
          <w:sz w:val="28"/>
          <w:szCs w:val="28"/>
        </w:rPr>
        <w:t>I</w:t>
      </w:r>
      <w:r w:rsidR="00F934D6" w:rsidRPr="00C45E13">
        <w:rPr>
          <w:b/>
          <w:sz w:val="28"/>
          <w:szCs w:val="28"/>
        </w:rPr>
        <w:t xml:space="preserve">NTERNATIONALIZATION OF </w:t>
      </w:r>
      <w:r w:rsidR="00F934D6">
        <w:rPr>
          <w:b/>
          <w:sz w:val="28"/>
          <w:szCs w:val="28"/>
        </w:rPr>
        <w:t>D</w:t>
      </w:r>
      <w:r w:rsidR="00F934D6" w:rsidRPr="00C45E13">
        <w:rPr>
          <w:b/>
          <w:sz w:val="28"/>
          <w:szCs w:val="28"/>
        </w:rPr>
        <w:t xml:space="preserve">IGITAL </w:t>
      </w:r>
      <w:r w:rsidR="00015190">
        <w:rPr>
          <w:b/>
          <w:sz w:val="28"/>
          <w:szCs w:val="28"/>
        </w:rPr>
        <w:t>VENTURES</w:t>
      </w:r>
    </w:p>
    <w:p w14:paraId="6428DFF1" w14:textId="77777777" w:rsidR="003F767B" w:rsidRDefault="003F767B" w:rsidP="00524877">
      <w:pPr>
        <w:pStyle w:val="Heading1"/>
      </w:pPr>
    </w:p>
    <w:p w14:paraId="41A0A84D" w14:textId="2A5A457F" w:rsidR="00524877" w:rsidRPr="00FB2A1A" w:rsidRDefault="00524877" w:rsidP="00524877">
      <w:pPr>
        <w:pStyle w:val="Heading1"/>
      </w:pPr>
      <w:r>
        <w:t>ABSTRACT</w:t>
      </w:r>
    </w:p>
    <w:p w14:paraId="15C8CE47" w14:textId="1D8E5B68" w:rsidR="00995351" w:rsidRDefault="009E5E5D" w:rsidP="00995351">
      <w:pPr>
        <w:jc w:val="both"/>
      </w:pPr>
      <w:r>
        <w:rPr>
          <w:lang w:val="en-CA"/>
        </w:rPr>
        <w:t>At first glance, d</w:t>
      </w:r>
      <w:r w:rsidR="00995351" w:rsidRPr="009E5E5D">
        <w:rPr>
          <w:lang w:val="en-CA"/>
        </w:rPr>
        <w:t xml:space="preserve">igital business ventures appear to face few impediments to international </w:t>
      </w:r>
      <w:r w:rsidR="00995351" w:rsidRPr="00394B59">
        <w:rPr>
          <w:lang w:val="en-CA"/>
        </w:rPr>
        <w:t xml:space="preserve">expansion. Since digital products and services can be delivered over the internet almost instantly to any country in the world, digital business models </w:t>
      </w:r>
      <w:r w:rsidR="00C75A1E" w:rsidRPr="00394B59">
        <w:rPr>
          <w:lang w:val="en-CA"/>
        </w:rPr>
        <w:t xml:space="preserve">may </w:t>
      </w:r>
      <w:r w:rsidRPr="00394B59">
        <w:rPr>
          <w:lang w:val="en-CA"/>
        </w:rPr>
        <w:t>seem to</w:t>
      </w:r>
      <w:r w:rsidR="00C75A1E" w:rsidRPr="00394B59">
        <w:rPr>
          <w:lang w:val="en-CA"/>
        </w:rPr>
        <w:t xml:space="preserve"> sweep away many traditional obstacles to internationalization</w:t>
      </w:r>
      <w:r w:rsidR="00995351" w:rsidRPr="00394B59">
        <w:rPr>
          <w:lang w:val="en-CA"/>
        </w:rPr>
        <w:t xml:space="preserve">. In reality, however, </w:t>
      </w:r>
      <w:r w:rsidRPr="00394B59">
        <w:rPr>
          <w:lang w:val="en-CA"/>
        </w:rPr>
        <w:t>the</w:t>
      </w:r>
      <w:r w:rsidR="00995351" w:rsidRPr="00394B59">
        <w:rPr>
          <w:lang w:val="en-CA"/>
        </w:rPr>
        <w:t xml:space="preserve"> </w:t>
      </w:r>
      <w:r w:rsidR="00AA3461">
        <w:rPr>
          <w:lang w:val="en-CA"/>
        </w:rPr>
        <w:t xml:space="preserve">timing and </w:t>
      </w:r>
      <w:r w:rsidR="00C75A1E" w:rsidRPr="00394B59">
        <w:rPr>
          <w:lang w:val="en-CA"/>
        </w:rPr>
        <w:t xml:space="preserve">extent of </w:t>
      </w:r>
      <w:r w:rsidR="00995351" w:rsidRPr="00394B59">
        <w:rPr>
          <w:lang w:val="en-CA"/>
        </w:rPr>
        <w:t>internationaliz</w:t>
      </w:r>
      <w:r w:rsidRPr="00394B59">
        <w:rPr>
          <w:lang w:val="en-CA"/>
        </w:rPr>
        <w:t xml:space="preserve">ation </w:t>
      </w:r>
      <w:r w:rsidR="00C75A1E" w:rsidRPr="00394B59">
        <w:rPr>
          <w:lang w:val="en-CA"/>
        </w:rPr>
        <w:t>among</w:t>
      </w:r>
      <w:r w:rsidRPr="00394B59">
        <w:rPr>
          <w:lang w:val="en-CA"/>
        </w:rPr>
        <w:t xml:space="preserve"> digital ventures </w:t>
      </w:r>
      <w:r w:rsidR="00995351" w:rsidRPr="00394B59">
        <w:rPr>
          <w:lang w:val="en-CA"/>
        </w:rPr>
        <w:t>is highly heterogeneous</w:t>
      </w:r>
      <w:r w:rsidR="007D6078">
        <w:rPr>
          <w:lang w:val="en-CA"/>
        </w:rPr>
        <w:t>. W</w:t>
      </w:r>
      <w:r w:rsidRPr="00394B59">
        <w:rPr>
          <w:lang w:val="en-CA"/>
        </w:rPr>
        <w:t xml:space="preserve">hat explains this </w:t>
      </w:r>
      <w:r w:rsidR="00AA3461">
        <w:rPr>
          <w:lang w:val="en-CA"/>
        </w:rPr>
        <w:t>variance</w:t>
      </w:r>
      <w:r w:rsidR="00AA3461" w:rsidRPr="00394B59">
        <w:rPr>
          <w:lang w:val="en-CA"/>
        </w:rPr>
        <w:t xml:space="preserve"> </w:t>
      </w:r>
      <w:r w:rsidRPr="00394B59">
        <w:rPr>
          <w:lang w:val="en-CA"/>
        </w:rPr>
        <w:t xml:space="preserve">among </w:t>
      </w:r>
      <w:r w:rsidR="00AA3461">
        <w:rPr>
          <w:lang w:val="en-CA"/>
        </w:rPr>
        <w:t>firms</w:t>
      </w:r>
      <w:r w:rsidRPr="00394B59">
        <w:rPr>
          <w:lang w:val="en-CA"/>
        </w:rPr>
        <w:t xml:space="preserve"> that might otherwise be expected to pursue global markets from inception?</w:t>
      </w:r>
      <w:r w:rsidR="00995351" w:rsidRPr="009E5E5D">
        <w:rPr>
          <w:lang w:val="en-CA"/>
        </w:rPr>
        <w:t xml:space="preserve"> In </w:t>
      </w:r>
      <w:r>
        <w:rPr>
          <w:lang w:val="en-CA"/>
        </w:rPr>
        <w:t>answering this question,</w:t>
      </w:r>
      <w:r w:rsidR="00995351" w:rsidRPr="009E5E5D">
        <w:rPr>
          <w:lang w:val="en-CA"/>
        </w:rPr>
        <w:t xml:space="preserve"> we extend and enhance emerging work on the internationalization of digital ventures </w:t>
      </w:r>
      <w:r>
        <w:rPr>
          <w:lang w:val="en-CA"/>
        </w:rPr>
        <w:t>through a</w:t>
      </w:r>
      <w:r w:rsidR="00C75A1E">
        <w:rPr>
          <w:lang w:val="en-CA"/>
        </w:rPr>
        <w:t>n</w:t>
      </w:r>
      <w:r>
        <w:rPr>
          <w:lang w:val="en-CA"/>
        </w:rPr>
        <w:t xml:space="preserve"> investigation of </w:t>
      </w:r>
      <w:r w:rsidR="00995351" w:rsidRPr="009E5E5D">
        <w:rPr>
          <w:lang w:val="en-CA"/>
        </w:rPr>
        <w:t xml:space="preserve">169 </w:t>
      </w:r>
      <w:r w:rsidR="00995351" w:rsidRPr="009E5E5D">
        <w:t>US-based firms that completed IPO</w:t>
      </w:r>
      <w:r w:rsidR="00AA3461">
        <w:t>s</w:t>
      </w:r>
      <w:r w:rsidR="00995351" w:rsidRPr="009E5E5D">
        <w:t xml:space="preserve"> from 2010 to 2019. Our work contributes fresh perspectives and empirical evidence on why some digital firms find it easier to achieve international scale than others.</w:t>
      </w:r>
    </w:p>
    <w:p w14:paraId="08C7FB8F" w14:textId="7B0A5DE9" w:rsidR="00995351" w:rsidRDefault="00995351" w:rsidP="00995351">
      <w:pPr>
        <w:jc w:val="both"/>
      </w:pPr>
    </w:p>
    <w:p w14:paraId="03BB19F9" w14:textId="249ED2DE" w:rsidR="00995351" w:rsidRPr="005D68B7" w:rsidRDefault="00995351" w:rsidP="00995351">
      <w:pPr>
        <w:jc w:val="both"/>
        <w:rPr>
          <w:sz w:val="20"/>
          <w:szCs w:val="20"/>
          <w:lang w:val="en-CA"/>
        </w:rPr>
      </w:pPr>
      <w:r w:rsidRPr="005D68B7">
        <w:rPr>
          <w:b/>
          <w:sz w:val="20"/>
          <w:szCs w:val="20"/>
          <w:lang w:val="en-CA"/>
        </w:rPr>
        <w:t>KEY WORDS</w:t>
      </w:r>
      <w:r w:rsidRPr="005D68B7">
        <w:rPr>
          <w:sz w:val="20"/>
          <w:szCs w:val="20"/>
          <w:lang w:val="en-CA"/>
        </w:rPr>
        <w:t xml:space="preserve">: </w:t>
      </w:r>
      <w:r>
        <w:rPr>
          <w:sz w:val="20"/>
          <w:szCs w:val="20"/>
          <w:lang w:val="en-CA"/>
        </w:rPr>
        <w:t>digitalization, internationalization, international entrepreneurship, new market entry</w:t>
      </w:r>
    </w:p>
    <w:p w14:paraId="57C19FFD" w14:textId="77777777" w:rsidR="00995351" w:rsidRPr="00995351" w:rsidRDefault="00995351" w:rsidP="00995351">
      <w:pPr>
        <w:jc w:val="both"/>
        <w:rPr>
          <w:lang w:val="en-CA"/>
        </w:rPr>
      </w:pPr>
    </w:p>
    <w:p w14:paraId="7606D4EE" w14:textId="77777777" w:rsidR="003F767B" w:rsidRDefault="003F767B" w:rsidP="00D00B99">
      <w:pPr>
        <w:pStyle w:val="Heading1"/>
      </w:pPr>
    </w:p>
    <w:p w14:paraId="22D2C782" w14:textId="0F241358" w:rsidR="001F1482" w:rsidRPr="00FB2A1A" w:rsidRDefault="001F1482" w:rsidP="00D00B99">
      <w:pPr>
        <w:pStyle w:val="Heading1"/>
      </w:pPr>
      <w:r w:rsidRPr="00FB2A1A">
        <w:t>INTRODUCTION</w:t>
      </w:r>
    </w:p>
    <w:p w14:paraId="33D0BC92" w14:textId="61804B5E" w:rsidR="00D82668" w:rsidRDefault="00E3312D" w:rsidP="002E2DFA">
      <w:pPr>
        <w:spacing w:line="480" w:lineRule="auto"/>
        <w:jc w:val="both"/>
        <w:rPr>
          <w:rFonts w:eastAsiaTheme="minorHAnsi"/>
          <w:color w:val="000000" w:themeColor="text1"/>
          <w:szCs w:val="22"/>
        </w:rPr>
      </w:pPr>
      <w:r>
        <w:rPr>
          <w:b/>
        </w:rPr>
        <w:tab/>
      </w:r>
      <w:r w:rsidR="00222626">
        <w:rPr>
          <w:bCs/>
        </w:rPr>
        <w:t>Resource</w:t>
      </w:r>
      <w:r w:rsidR="00620D41">
        <w:t>-based theor</w:t>
      </w:r>
      <w:r w:rsidR="00405F97">
        <w:t>ies of internationalization</w:t>
      </w:r>
      <w:r w:rsidR="00620D41">
        <w:t xml:space="preserve"> suggest that firms </w:t>
      </w:r>
      <w:r w:rsidR="00405F97">
        <w:t xml:space="preserve">expand into foreign markets </w:t>
      </w:r>
      <w:r w:rsidR="00620D41">
        <w:t>“driven by the opportunity to leverage capabilities and create and capture value from innovation on a global scale” (</w:t>
      </w:r>
      <w:bookmarkStart w:id="0" w:name="_Hlk89863600"/>
      <w:r w:rsidR="00620D41">
        <w:t>Teece, 2014</w:t>
      </w:r>
      <w:bookmarkEnd w:id="0"/>
      <w:r w:rsidR="000F69AB">
        <w:t>:</w:t>
      </w:r>
      <w:r w:rsidR="00D15086">
        <w:t xml:space="preserve"> </w:t>
      </w:r>
      <w:r w:rsidR="00553CEA">
        <w:t>22</w:t>
      </w:r>
      <w:r w:rsidR="00620D41">
        <w:t>).</w:t>
      </w:r>
      <w:r w:rsidR="00405F97">
        <w:t xml:space="preserve"> </w:t>
      </w:r>
      <w:r w:rsidR="00415769">
        <w:t>But</w:t>
      </w:r>
      <w:r w:rsidR="005E31A6">
        <w:t xml:space="preserve"> leveraging resources </w:t>
      </w:r>
      <w:r w:rsidR="000F69AB">
        <w:t xml:space="preserve">in distant foreign markets </w:t>
      </w:r>
      <w:r w:rsidR="005E31A6">
        <w:t>can be</w:t>
      </w:r>
      <w:r w:rsidR="00D82668">
        <w:t xml:space="preserve"> difficult</w:t>
      </w:r>
      <w:r w:rsidR="000F69AB">
        <w:t xml:space="preserve">. </w:t>
      </w:r>
      <w:r w:rsidR="002E2DFA">
        <w:t>The orchestration of r</w:t>
      </w:r>
      <w:r w:rsidR="000F69AB">
        <w:t>esource</w:t>
      </w:r>
      <w:r w:rsidR="002E2DFA">
        <w:t>s for competitive positioning and value creation</w:t>
      </w:r>
      <w:r w:rsidR="000F69AB">
        <w:t xml:space="preserve"> (</w:t>
      </w:r>
      <w:bookmarkStart w:id="1" w:name="_Hlk89863748"/>
      <w:r w:rsidR="000F69AB">
        <w:t>Sirmon</w:t>
      </w:r>
      <w:r w:rsidR="00EF0C10">
        <w:t>, Hit</w:t>
      </w:r>
      <w:r w:rsidR="00B704A8">
        <w:t>t</w:t>
      </w:r>
      <w:r w:rsidR="00EF0C10">
        <w:t>, Ireland</w:t>
      </w:r>
      <w:r w:rsidR="000F69AB">
        <w:t xml:space="preserve"> </w:t>
      </w:r>
      <w:r w:rsidR="00EF0C10">
        <w:t>&amp; Gilbert</w:t>
      </w:r>
      <w:r w:rsidR="000F69AB">
        <w:t>, 2011</w:t>
      </w:r>
      <w:bookmarkEnd w:id="1"/>
      <w:r w:rsidR="000F69AB">
        <w:t>)</w:t>
      </w:r>
      <w:r w:rsidR="002E2DFA">
        <w:t xml:space="preserve"> is a challenge under any circumstances, but </w:t>
      </w:r>
      <w:r w:rsidR="00553CEA">
        <w:t>the international context adds further obstacles, such as</w:t>
      </w:r>
      <w:r w:rsidR="005E31A6">
        <w:t xml:space="preserve"> </w:t>
      </w:r>
      <w:r w:rsidR="005E31A6" w:rsidRPr="002E3573">
        <w:rPr>
          <w:color w:val="000000" w:themeColor="text1"/>
        </w:rPr>
        <w:t>transportation costs</w:t>
      </w:r>
      <w:r w:rsidR="005E31A6">
        <w:rPr>
          <w:color w:val="000000" w:themeColor="text1"/>
        </w:rPr>
        <w:t>,</w:t>
      </w:r>
      <w:r w:rsidR="005E31A6" w:rsidRPr="002E3573">
        <w:rPr>
          <w:color w:val="000000" w:themeColor="text1"/>
        </w:rPr>
        <w:t xml:space="preserve"> </w:t>
      </w:r>
      <w:r w:rsidR="00FA24F2">
        <w:rPr>
          <w:color w:val="000000" w:themeColor="text1"/>
        </w:rPr>
        <w:t>complex local supply chains</w:t>
      </w:r>
      <w:r w:rsidR="005E31A6" w:rsidRPr="002E3573">
        <w:rPr>
          <w:color w:val="000000" w:themeColor="text1"/>
        </w:rPr>
        <w:t>, restrictive government policies</w:t>
      </w:r>
      <w:r w:rsidR="005E31A6">
        <w:rPr>
          <w:color w:val="000000" w:themeColor="text1"/>
        </w:rPr>
        <w:t>, and</w:t>
      </w:r>
      <w:r w:rsidR="005E31A6" w:rsidRPr="002E3573">
        <w:rPr>
          <w:color w:val="000000" w:themeColor="text1"/>
        </w:rPr>
        <w:t xml:space="preserve"> cultural differences (</w:t>
      </w:r>
      <w:bookmarkStart w:id="2" w:name="_Hlk89863755"/>
      <w:r w:rsidR="005E31A6" w:rsidRPr="002E3573">
        <w:rPr>
          <w:color w:val="000000" w:themeColor="text1"/>
        </w:rPr>
        <w:t>Ghemawat, 2001</w:t>
      </w:r>
      <w:r w:rsidR="005E31A6">
        <w:rPr>
          <w:color w:val="000000" w:themeColor="text1"/>
        </w:rPr>
        <w:t xml:space="preserve">; Kraus, Ambos, Eggers &amp; </w:t>
      </w:r>
      <w:proofErr w:type="spellStart"/>
      <w:r w:rsidR="005E31A6">
        <w:rPr>
          <w:color w:val="000000" w:themeColor="text1"/>
        </w:rPr>
        <w:t>Cesinger</w:t>
      </w:r>
      <w:proofErr w:type="spellEnd"/>
      <w:r w:rsidR="005E31A6">
        <w:rPr>
          <w:color w:val="000000" w:themeColor="text1"/>
        </w:rPr>
        <w:t>, 2015</w:t>
      </w:r>
      <w:bookmarkEnd w:id="2"/>
      <w:r w:rsidR="005E31A6" w:rsidRPr="002E3573">
        <w:rPr>
          <w:color w:val="000000" w:themeColor="text1"/>
        </w:rPr>
        <w:t>)</w:t>
      </w:r>
      <w:r w:rsidR="005E31A6">
        <w:rPr>
          <w:color w:val="000000" w:themeColor="text1"/>
        </w:rPr>
        <w:t xml:space="preserve">. As a result, research has </w:t>
      </w:r>
      <w:r w:rsidR="00B704A8">
        <w:rPr>
          <w:color w:val="000000" w:themeColor="text1"/>
        </w:rPr>
        <w:t>traditionally</w:t>
      </w:r>
      <w:r w:rsidR="00FA24F2">
        <w:rPr>
          <w:color w:val="000000" w:themeColor="text1"/>
        </w:rPr>
        <w:t xml:space="preserve"> </w:t>
      </w:r>
      <w:r w:rsidR="005E31A6" w:rsidRPr="002E3573">
        <w:rPr>
          <w:color w:val="000000" w:themeColor="text1"/>
        </w:rPr>
        <w:t xml:space="preserve">portrayed international market entry as </w:t>
      </w:r>
      <w:r w:rsidR="005E31A6">
        <w:rPr>
          <w:color w:val="000000" w:themeColor="text1"/>
        </w:rPr>
        <w:t>difficult, slow,</w:t>
      </w:r>
      <w:r w:rsidR="005E31A6" w:rsidRPr="002E3573">
        <w:rPr>
          <w:color w:val="000000" w:themeColor="text1"/>
        </w:rPr>
        <w:t xml:space="preserve"> and </w:t>
      </w:r>
      <w:r w:rsidR="005E31A6" w:rsidRPr="007D4B29">
        <w:rPr>
          <w:color w:val="000000" w:themeColor="text1"/>
        </w:rPr>
        <w:t>fraught</w:t>
      </w:r>
      <w:r w:rsidR="005E31A6" w:rsidRPr="002E3573">
        <w:rPr>
          <w:color w:val="000000" w:themeColor="text1"/>
        </w:rPr>
        <w:t xml:space="preserve"> with uncertainty (</w:t>
      </w:r>
      <w:bookmarkStart w:id="3" w:name="_Hlk89863763"/>
      <w:r w:rsidR="005E31A6">
        <w:rPr>
          <w:color w:val="000000" w:themeColor="text1"/>
        </w:rPr>
        <w:t>Johanson &amp; Vahlne, 1977</w:t>
      </w:r>
      <w:r w:rsidR="005E31A6" w:rsidRPr="002E3573">
        <w:rPr>
          <w:color w:val="000000" w:themeColor="text1"/>
        </w:rPr>
        <w:t>;</w:t>
      </w:r>
      <w:r w:rsidR="005E31A6">
        <w:rPr>
          <w:color w:val="000000" w:themeColor="text1"/>
        </w:rPr>
        <w:t xml:space="preserve"> Zaheer, 1995</w:t>
      </w:r>
      <w:bookmarkEnd w:id="3"/>
      <w:r w:rsidR="005E31A6" w:rsidRPr="002E3573">
        <w:rPr>
          <w:color w:val="000000" w:themeColor="text1"/>
        </w:rPr>
        <w:t>)</w:t>
      </w:r>
      <w:r w:rsidR="005E31A6">
        <w:rPr>
          <w:color w:val="000000" w:themeColor="text1"/>
        </w:rPr>
        <w:t xml:space="preserve">, and most new ventures have </w:t>
      </w:r>
      <w:r w:rsidR="005E31A6" w:rsidRPr="002E3573">
        <w:rPr>
          <w:color w:val="000000" w:themeColor="text1"/>
        </w:rPr>
        <w:t xml:space="preserve">focused on building </w:t>
      </w:r>
      <w:r w:rsidR="00FA24F2">
        <w:rPr>
          <w:color w:val="000000" w:themeColor="text1"/>
        </w:rPr>
        <w:t>their</w:t>
      </w:r>
      <w:r w:rsidR="005E31A6" w:rsidRPr="002E3573">
        <w:rPr>
          <w:color w:val="000000" w:themeColor="text1"/>
        </w:rPr>
        <w:t xml:space="preserve"> domestic business </w:t>
      </w:r>
      <w:r w:rsidR="005E31A6">
        <w:rPr>
          <w:color w:val="000000" w:themeColor="text1"/>
        </w:rPr>
        <w:t xml:space="preserve">first, </w:t>
      </w:r>
      <w:r w:rsidR="005E31A6" w:rsidRPr="002E3573">
        <w:rPr>
          <w:color w:val="000000" w:themeColor="text1"/>
        </w:rPr>
        <w:t xml:space="preserve">before </w:t>
      </w:r>
      <w:r w:rsidR="00FA24F2">
        <w:rPr>
          <w:color w:val="000000" w:themeColor="text1"/>
        </w:rPr>
        <w:t>pursuing opportunities in</w:t>
      </w:r>
      <w:r w:rsidR="005E31A6">
        <w:rPr>
          <w:color w:val="000000" w:themeColor="text1"/>
        </w:rPr>
        <w:t xml:space="preserve"> foreign markets</w:t>
      </w:r>
      <w:r w:rsidR="005E31A6" w:rsidRPr="002E3573">
        <w:rPr>
          <w:color w:val="000000" w:themeColor="text1"/>
        </w:rPr>
        <w:t xml:space="preserve"> (</w:t>
      </w:r>
      <w:bookmarkStart w:id="4" w:name="_Hlk89863769"/>
      <w:r w:rsidR="005E31A6" w:rsidRPr="002E3573">
        <w:rPr>
          <w:color w:val="000000" w:themeColor="text1"/>
        </w:rPr>
        <w:t>Carpenter, Pollock &amp; Leary, 2003</w:t>
      </w:r>
      <w:bookmarkEnd w:id="4"/>
      <w:r w:rsidR="005E31A6" w:rsidRPr="002E3573">
        <w:rPr>
          <w:rFonts w:eastAsiaTheme="minorHAnsi"/>
          <w:color w:val="000000" w:themeColor="text1"/>
          <w:szCs w:val="22"/>
        </w:rPr>
        <w:t>).</w:t>
      </w:r>
      <w:r w:rsidR="00D82668">
        <w:rPr>
          <w:rFonts w:eastAsiaTheme="minorHAnsi"/>
          <w:color w:val="000000" w:themeColor="text1"/>
          <w:szCs w:val="22"/>
        </w:rPr>
        <w:t xml:space="preserve"> </w:t>
      </w:r>
    </w:p>
    <w:p w14:paraId="17A00112" w14:textId="7B6EEE1D" w:rsidR="00DA565A" w:rsidRDefault="00732F2C" w:rsidP="00DA565A">
      <w:pPr>
        <w:spacing w:line="480" w:lineRule="auto"/>
        <w:ind w:firstLine="720"/>
        <w:jc w:val="both"/>
      </w:pPr>
      <w:r>
        <w:lastRenderedPageBreak/>
        <w:t>However, many new ventures today are formed around digital resources</w:t>
      </w:r>
      <w:r w:rsidR="00D7705E">
        <w:t xml:space="preserve">, which </w:t>
      </w:r>
      <w:r>
        <w:t xml:space="preserve">are codified in software and can be </w:t>
      </w:r>
      <w:r w:rsidR="00FA24F2">
        <w:t xml:space="preserve">instantly </w:t>
      </w:r>
      <w:r w:rsidR="000B3AF1">
        <w:t>deployed</w:t>
      </w:r>
      <w:r>
        <w:t xml:space="preserve"> worldwide</w:t>
      </w:r>
      <w:r w:rsidR="00561F81">
        <w:t xml:space="preserve"> over the internet</w:t>
      </w:r>
      <w:r>
        <w:t xml:space="preserve">. </w:t>
      </w:r>
      <w:r w:rsidR="00B475F7">
        <w:t xml:space="preserve">In particular, </w:t>
      </w:r>
      <w:r w:rsidR="00B475F7">
        <w:rPr>
          <w:color w:val="000000" w:themeColor="text1"/>
          <w:lang w:val="en-CA"/>
        </w:rPr>
        <w:t xml:space="preserve">so-called </w:t>
      </w:r>
      <w:r w:rsidR="00B475F7" w:rsidRPr="00FE65B4">
        <w:rPr>
          <w:i/>
          <w:iCs/>
          <w:color w:val="000000" w:themeColor="text1"/>
          <w:lang w:val="en-CA"/>
        </w:rPr>
        <w:t xml:space="preserve">digital </w:t>
      </w:r>
      <w:r w:rsidR="00B475F7">
        <w:rPr>
          <w:i/>
          <w:iCs/>
          <w:color w:val="000000" w:themeColor="text1"/>
          <w:lang w:val="en-CA"/>
        </w:rPr>
        <w:t>firms</w:t>
      </w:r>
      <w:r w:rsidR="00B475F7">
        <w:rPr>
          <w:color w:val="000000" w:themeColor="text1"/>
          <w:lang w:val="en-CA"/>
        </w:rPr>
        <w:t xml:space="preserve"> </w:t>
      </w:r>
      <w:r w:rsidR="00B475F7" w:rsidRPr="002E3573">
        <w:rPr>
          <w:color w:val="000000" w:themeColor="text1"/>
          <w:lang w:val="en-CA"/>
        </w:rPr>
        <w:t>(</w:t>
      </w:r>
      <w:bookmarkStart w:id="5" w:name="_Hlk89863775"/>
      <w:r w:rsidR="00B475F7" w:rsidRPr="002E3573">
        <w:rPr>
          <w:color w:val="000000" w:themeColor="text1"/>
          <w:lang w:val="en-CA"/>
        </w:rPr>
        <w:t>Monaghan, Tippmann, &amp; Coviello, 2019</w:t>
      </w:r>
      <w:bookmarkEnd w:id="5"/>
      <w:r w:rsidR="00B475F7" w:rsidRPr="002E3573">
        <w:rPr>
          <w:color w:val="000000" w:themeColor="text1"/>
          <w:lang w:val="en-CA"/>
        </w:rPr>
        <w:t>)</w:t>
      </w:r>
      <w:r w:rsidR="00B475F7">
        <w:rPr>
          <w:color w:val="000000" w:themeColor="text1"/>
          <w:lang w:val="en-CA"/>
        </w:rPr>
        <w:t xml:space="preserve"> </w:t>
      </w:r>
      <w:r w:rsidR="00415769">
        <w:rPr>
          <w:color w:val="000000" w:themeColor="text1"/>
          <w:lang w:val="en-CA"/>
        </w:rPr>
        <w:t>leverage</w:t>
      </w:r>
      <w:r w:rsidR="00B475F7">
        <w:rPr>
          <w:color w:val="000000" w:themeColor="text1"/>
          <w:lang w:val="en-CA"/>
        </w:rPr>
        <w:t xml:space="preserve"> </w:t>
      </w:r>
      <w:r w:rsidR="0043020C">
        <w:rPr>
          <w:color w:val="000000" w:themeColor="text1"/>
          <w:lang w:val="en-CA"/>
        </w:rPr>
        <w:t xml:space="preserve">such </w:t>
      </w:r>
      <w:r w:rsidR="00B475F7">
        <w:rPr>
          <w:color w:val="000000" w:themeColor="text1"/>
          <w:lang w:val="en-CA"/>
        </w:rPr>
        <w:t>resources to offer fully digital products and services</w:t>
      </w:r>
      <w:r w:rsidR="00FF3DC0">
        <w:rPr>
          <w:color w:val="000000" w:themeColor="text1"/>
          <w:lang w:val="en-CA"/>
        </w:rPr>
        <w:t xml:space="preserve">, </w:t>
      </w:r>
      <w:r w:rsidR="00B475F7">
        <w:rPr>
          <w:color w:val="000000" w:themeColor="text1"/>
          <w:lang w:val="en-CA"/>
        </w:rPr>
        <w:t xml:space="preserve">such as </w:t>
      </w:r>
      <w:r w:rsidR="00B475F7" w:rsidRPr="002E3573">
        <w:rPr>
          <w:color w:val="000000" w:themeColor="text1"/>
          <w:lang w:val="en-CA"/>
        </w:rPr>
        <w:t>smartphone apps (</w:t>
      </w:r>
      <w:bookmarkStart w:id="6" w:name="_Hlk89863781"/>
      <w:proofErr w:type="spellStart"/>
      <w:r w:rsidR="00B475F7" w:rsidRPr="002E3573">
        <w:rPr>
          <w:color w:val="000000" w:themeColor="text1"/>
          <w:lang w:val="en-CA"/>
        </w:rPr>
        <w:t>Shaheer</w:t>
      </w:r>
      <w:proofErr w:type="spellEnd"/>
      <w:r w:rsidR="00B475F7" w:rsidRPr="002E3573">
        <w:rPr>
          <w:color w:val="000000" w:themeColor="text1"/>
          <w:lang w:val="en-CA"/>
        </w:rPr>
        <w:t xml:space="preserve"> &amp; Li, 2020</w:t>
      </w:r>
      <w:bookmarkEnd w:id="6"/>
      <w:r w:rsidR="00B475F7" w:rsidRPr="002E3573">
        <w:rPr>
          <w:color w:val="000000" w:themeColor="text1"/>
          <w:lang w:val="en-CA"/>
        </w:rPr>
        <w:t>)</w:t>
      </w:r>
      <w:r w:rsidR="00B475F7">
        <w:rPr>
          <w:color w:val="000000" w:themeColor="text1"/>
          <w:lang w:val="en-CA"/>
        </w:rPr>
        <w:t>,</w:t>
      </w:r>
      <w:r w:rsidR="00B475F7" w:rsidRPr="002E3573">
        <w:rPr>
          <w:color w:val="000000" w:themeColor="text1"/>
          <w:lang w:val="en-CA"/>
        </w:rPr>
        <w:t xml:space="preserve"> software solutions</w:t>
      </w:r>
      <w:r w:rsidR="00B475F7">
        <w:rPr>
          <w:color w:val="000000" w:themeColor="text1"/>
          <w:lang w:val="en-CA"/>
        </w:rPr>
        <w:t xml:space="preserve"> </w:t>
      </w:r>
      <w:r w:rsidR="00B475F7" w:rsidRPr="002E3573">
        <w:rPr>
          <w:color w:val="000000" w:themeColor="text1"/>
          <w:lang w:val="en-CA"/>
        </w:rPr>
        <w:t>(</w:t>
      </w:r>
      <w:bookmarkStart w:id="7" w:name="_Hlk89863786"/>
      <w:r w:rsidR="00B475F7" w:rsidRPr="002E3573">
        <w:rPr>
          <w:color w:val="000000" w:themeColor="text1"/>
          <w:lang w:val="en-CA"/>
        </w:rPr>
        <w:t>Monaghan &amp; Tippmann, 2018</w:t>
      </w:r>
      <w:bookmarkEnd w:id="7"/>
      <w:r w:rsidR="00B475F7" w:rsidRPr="002E3573">
        <w:rPr>
          <w:color w:val="000000" w:themeColor="text1"/>
          <w:lang w:val="en-CA"/>
        </w:rPr>
        <w:t>)</w:t>
      </w:r>
      <w:r w:rsidR="00B475F7">
        <w:rPr>
          <w:color w:val="000000" w:themeColor="text1"/>
          <w:lang w:val="en-CA"/>
        </w:rPr>
        <w:t>, or</w:t>
      </w:r>
      <w:r w:rsidR="00B475F7" w:rsidRPr="002E3573">
        <w:rPr>
          <w:color w:val="000000" w:themeColor="text1"/>
          <w:lang w:val="en-CA"/>
        </w:rPr>
        <w:t xml:space="preserve"> digital platform services (</w:t>
      </w:r>
      <w:bookmarkStart w:id="8" w:name="_Hlk89863797"/>
      <w:r w:rsidR="00A96189">
        <w:rPr>
          <w:color w:val="000000" w:themeColor="text1"/>
          <w:lang w:val="en-CA"/>
        </w:rPr>
        <w:t xml:space="preserve">Deng, Liesch &amp; Wang, 2021; </w:t>
      </w:r>
      <w:r w:rsidR="00B475F7">
        <w:rPr>
          <w:color w:val="000000" w:themeColor="text1"/>
          <w:lang w:val="en-CA"/>
        </w:rPr>
        <w:t>Shree, Singh, Paul, Hao &amp; Xu, 2021</w:t>
      </w:r>
      <w:r w:rsidR="00DA565A">
        <w:rPr>
          <w:color w:val="000000" w:themeColor="text1"/>
          <w:lang w:val="en-CA"/>
        </w:rPr>
        <w:t>; Stallkamp &amp; Schotter, 2021</w:t>
      </w:r>
      <w:bookmarkEnd w:id="8"/>
      <w:r w:rsidR="00B475F7">
        <w:rPr>
          <w:color w:val="000000" w:themeColor="text1"/>
          <w:lang w:val="en-CA"/>
        </w:rPr>
        <w:t>)</w:t>
      </w:r>
      <w:r w:rsidR="00DA565A">
        <w:rPr>
          <w:color w:val="000000" w:themeColor="text1"/>
          <w:lang w:val="en-CA"/>
        </w:rPr>
        <w:t>.</w:t>
      </w:r>
      <w:r w:rsidR="00DA565A" w:rsidRPr="00DA565A">
        <w:rPr>
          <w:color w:val="000000" w:themeColor="text1"/>
          <w:lang w:val="en-CA"/>
        </w:rPr>
        <w:t xml:space="preserve"> </w:t>
      </w:r>
      <w:r w:rsidR="00DA565A">
        <w:rPr>
          <w:color w:val="000000" w:themeColor="text1"/>
          <w:lang w:val="en-CA"/>
        </w:rPr>
        <w:t>The critical resources underpinning the production of these goods and services consist of cloud-based software algorithms, whose “scale free” nature (</w:t>
      </w:r>
      <w:bookmarkStart w:id="9" w:name="_Hlk89863806"/>
      <w:r w:rsidR="00DA565A">
        <w:rPr>
          <w:color w:val="000000" w:themeColor="text1"/>
          <w:lang w:val="en-CA"/>
        </w:rPr>
        <w:t>Levinthal &amp; Wu, 2010</w:t>
      </w:r>
      <w:bookmarkEnd w:id="9"/>
      <w:r w:rsidR="00DA565A">
        <w:rPr>
          <w:color w:val="000000" w:themeColor="text1"/>
          <w:lang w:val="en-CA"/>
        </w:rPr>
        <w:t xml:space="preserve">) </w:t>
      </w:r>
      <w:r w:rsidR="00BC5D88">
        <w:rPr>
          <w:color w:val="000000" w:themeColor="text1"/>
          <w:lang w:val="en-CA"/>
        </w:rPr>
        <w:t>enables</w:t>
      </w:r>
      <w:r w:rsidR="00DA565A">
        <w:rPr>
          <w:color w:val="000000" w:themeColor="text1"/>
          <w:lang w:val="en-CA"/>
        </w:rPr>
        <w:t xml:space="preserve"> firms to rapidly </w:t>
      </w:r>
      <w:r w:rsidR="0043020C">
        <w:rPr>
          <w:color w:val="000000" w:themeColor="text1"/>
          <w:lang w:val="en-CA"/>
        </w:rPr>
        <w:t xml:space="preserve">attract </w:t>
      </w:r>
      <w:r w:rsidR="00DA565A">
        <w:rPr>
          <w:color w:val="000000" w:themeColor="text1"/>
          <w:lang w:val="en-CA"/>
        </w:rPr>
        <w:t>user</w:t>
      </w:r>
      <w:r w:rsidR="00B704A8">
        <w:rPr>
          <w:color w:val="000000" w:themeColor="text1"/>
          <w:lang w:val="en-CA"/>
        </w:rPr>
        <w:t>s</w:t>
      </w:r>
      <w:r w:rsidR="00DA565A">
        <w:rPr>
          <w:color w:val="000000" w:themeColor="text1"/>
          <w:lang w:val="en-CA"/>
        </w:rPr>
        <w:t xml:space="preserve"> and increase output </w:t>
      </w:r>
      <w:r w:rsidR="0043020C">
        <w:rPr>
          <w:color w:val="000000" w:themeColor="text1"/>
          <w:lang w:val="en-CA"/>
        </w:rPr>
        <w:t xml:space="preserve">with </w:t>
      </w:r>
      <w:r w:rsidR="00DA565A">
        <w:rPr>
          <w:color w:val="000000" w:themeColor="text1"/>
          <w:lang w:val="en-CA"/>
        </w:rPr>
        <w:t>near-zero marginal costs</w:t>
      </w:r>
      <w:r w:rsidR="00914507">
        <w:rPr>
          <w:color w:val="000000" w:themeColor="text1"/>
          <w:lang w:val="en-CA"/>
        </w:rPr>
        <w:t xml:space="preserve"> (</w:t>
      </w:r>
      <w:bookmarkStart w:id="10" w:name="_Hlk89863813"/>
      <w:r w:rsidR="00B822EF">
        <w:rPr>
          <w:color w:val="000000" w:themeColor="text1"/>
          <w:lang w:val="en-CA"/>
        </w:rPr>
        <w:t xml:space="preserve">Bharadwaj, El </w:t>
      </w:r>
      <w:proofErr w:type="spellStart"/>
      <w:r w:rsidR="00B822EF">
        <w:rPr>
          <w:color w:val="000000" w:themeColor="text1"/>
          <w:lang w:val="en-CA"/>
        </w:rPr>
        <w:t>Sawy</w:t>
      </w:r>
      <w:proofErr w:type="spellEnd"/>
      <w:r w:rsidR="00B822EF">
        <w:rPr>
          <w:color w:val="000000" w:themeColor="text1"/>
          <w:lang w:val="en-CA"/>
        </w:rPr>
        <w:t xml:space="preserve">, </w:t>
      </w:r>
      <w:proofErr w:type="spellStart"/>
      <w:r w:rsidR="00B822EF">
        <w:rPr>
          <w:color w:val="000000" w:themeColor="text1"/>
          <w:lang w:val="en-CA"/>
        </w:rPr>
        <w:t>Pavlou</w:t>
      </w:r>
      <w:proofErr w:type="spellEnd"/>
      <w:r w:rsidR="00B822EF">
        <w:rPr>
          <w:color w:val="000000" w:themeColor="text1"/>
          <w:lang w:val="en-CA"/>
        </w:rPr>
        <w:t xml:space="preserve"> &amp; Venkatraman, 2013; Chalmers, Mackenzie &amp; Carter, 2021</w:t>
      </w:r>
      <w:bookmarkEnd w:id="10"/>
      <w:r w:rsidR="00914507">
        <w:rPr>
          <w:color w:val="000000" w:themeColor="text1"/>
          <w:lang w:val="en-CA"/>
        </w:rPr>
        <w:t>)</w:t>
      </w:r>
      <w:r w:rsidR="00DA565A">
        <w:rPr>
          <w:color w:val="000000" w:themeColor="text1"/>
          <w:lang w:val="en-CA"/>
        </w:rPr>
        <w:t xml:space="preserve">. Further, </w:t>
      </w:r>
      <w:r w:rsidR="00BC5D88">
        <w:rPr>
          <w:color w:val="000000" w:themeColor="text1"/>
          <w:lang w:val="en-CA"/>
        </w:rPr>
        <w:t>globe-spanning</w:t>
      </w:r>
      <w:r w:rsidR="00914507">
        <w:rPr>
          <w:color w:val="000000" w:themeColor="text1"/>
          <w:lang w:val="en-CA"/>
        </w:rPr>
        <w:t xml:space="preserve"> internet-based distribution channels, such as app stores and online platforms, </w:t>
      </w:r>
      <w:r w:rsidR="00BC5D88">
        <w:rPr>
          <w:color w:val="000000" w:themeColor="text1"/>
          <w:lang w:val="en-CA"/>
        </w:rPr>
        <w:t>dramatically reduce the cost and complexity of foreign market entry</w:t>
      </w:r>
      <w:r w:rsidR="00B822EF">
        <w:rPr>
          <w:color w:val="000000" w:themeColor="text1"/>
          <w:lang w:val="en-CA"/>
        </w:rPr>
        <w:t xml:space="preserve"> </w:t>
      </w:r>
      <w:r w:rsidR="00BC5D88" w:rsidRPr="002E3573">
        <w:rPr>
          <w:color w:val="000000" w:themeColor="text1"/>
          <w:lang w:val="en-CA"/>
        </w:rPr>
        <w:t>(</w:t>
      </w:r>
      <w:bookmarkStart w:id="11" w:name="_Hlk89863821"/>
      <w:r w:rsidR="00BC5D88">
        <w:rPr>
          <w:color w:val="000000" w:themeColor="text1"/>
          <w:lang w:val="en-CA"/>
        </w:rPr>
        <w:t xml:space="preserve">Autio, </w:t>
      </w:r>
      <w:proofErr w:type="spellStart"/>
      <w:r w:rsidR="00BC5D88">
        <w:rPr>
          <w:color w:val="000000" w:themeColor="text1"/>
          <w:lang w:val="en-CA"/>
        </w:rPr>
        <w:t>Mudambi</w:t>
      </w:r>
      <w:proofErr w:type="spellEnd"/>
      <w:r w:rsidR="00BC5D88">
        <w:rPr>
          <w:color w:val="000000" w:themeColor="text1"/>
          <w:lang w:val="en-CA"/>
        </w:rPr>
        <w:t xml:space="preserve"> &amp; </w:t>
      </w:r>
      <w:proofErr w:type="spellStart"/>
      <w:r w:rsidR="00BC5D88">
        <w:rPr>
          <w:color w:val="000000" w:themeColor="text1"/>
          <w:lang w:val="en-CA"/>
        </w:rPr>
        <w:t>Yoo</w:t>
      </w:r>
      <w:proofErr w:type="spellEnd"/>
      <w:r w:rsidR="00BC5D88">
        <w:rPr>
          <w:color w:val="000000" w:themeColor="text1"/>
          <w:lang w:val="en-CA"/>
        </w:rPr>
        <w:t>, 2021</w:t>
      </w:r>
      <w:bookmarkEnd w:id="11"/>
      <w:r w:rsidR="00424CE1">
        <w:rPr>
          <w:color w:val="000000" w:themeColor="text1"/>
          <w:lang w:val="en-CA"/>
        </w:rPr>
        <w:t xml:space="preserve">; </w:t>
      </w:r>
      <w:proofErr w:type="spellStart"/>
      <w:r w:rsidR="00424CE1">
        <w:rPr>
          <w:color w:val="000000" w:themeColor="text1"/>
          <w:lang w:val="en-CA"/>
        </w:rPr>
        <w:t>Katsikeas</w:t>
      </w:r>
      <w:proofErr w:type="spellEnd"/>
      <w:r w:rsidR="00424CE1">
        <w:rPr>
          <w:color w:val="000000" w:themeColor="text1"/>
          <w:lang w:val="en-CA"/>
        </w:rPr>
        <w:t xml:space="preserve">, </w:t>
      </w:r>
      <w:proofErr w:type="spellStart"/>
      <w:r w:rsidR="00424CE1">
        <w:rPr>
          <w:color w:val="000000" w:themeColor="text1"/>
          <w:lang w:val="en-CA"/>
        </w:rPr>
        <w:t>Leonidou</w:t>
      </w:r>
      <w:proofErr w:type="spellEnd"/>
      <w:r w:rsidR="00424CE1">
        <w:rPr>
          <w:color w:val="000000" w:themeColor="text1"/>
          <w:lang w:val="en-CA"/>
        </w:rPr>
        <w:t xml:space="preserve"> &amp; </w:t>
      </w:r>
      <w:proofErr w:type="spellStart"/>
      <w:r w:rsidR="00424CE1">
        <w:rPr>
          <w:color w:val="000000" w:themeColor="text1"/>
          <w:lang w:val="en-CA"/>
        </w:rPr>
        <w:t>Zeriti</w:t>
      </w:r>
      <w:proofErr w:type="spellEnd"/>
      <w:r w:rsidR="00424CE1">
        <w:rPr>
          <w:color w:val="000000" w:themeColor="text1"/>
          <w:lang w:val="en-CA"/>
        </w:rPr>
        <w:t>, 2020</w:t>
      </w:r>
      <w:r w:rsidR="00BC5D88" w:rsidRPr="002E3573">
        <w:rPr>
          <w:color w:val="000000" w:themeColor="text1"/>
          <w:lang w:val="en-CA"/>
        </w:rPr>
        <w:t>)</w:t>
      </w:r>
      <w:r w:rsidR="00D7705E">
        <w:rPr>
          <w:color w:val="000000" w:themeColor="text1"/>
          <w:lang w:val="en-CA"/>
        </w:rPr>
        <w:t xml:space="preserve">. These </w:t>
      </w:r>
      <w:r w:rsidR="00D7705E">
        <w:t xml:space="preserve">unique characteristics of digital resources have raised the possibility that digital ventures </w:t>
      </w:r>
      <w:r w:rsidR="00D7705E">
        <w:rPr>
          <w:color w:val="000000" w:themeColor="text1"/>
          <w:lang w:val="en-CA"/>
        </w:rPr>
        <w:t>may be able to serve</w:t>
      </w:r>
      <w:r w:rsidR="00D7705E" w:rsidRPr="002E3573">
        <w:rPr>
          <w:color w:val="000000" w:themeColor="text1"/>
          <w:lang w:val="en-CA"/>
        </w:rPr>
        <w:t xml:space="preserve"> international markets from </w:t>
      </w:r>
      <w:r w:rsidR="00D7705E">
        <w:rPr>
          <w:color w:val="000000" w:themeColor="text1"/>
          <w:lang w:val="en-CA"/>
        </w:rPr>
        <w:t xml:space="preserve">inception, making them truly “born global” </w:t>
      </w:r>
      <w:r w:rsidR="00D7705E" w:rsidRPr="002E3573">
        <w:rPr>
          <w:color w:val="000000" w:themeColor="text1"/>
          <w:lang w:val="en-CA"/>
        </w:rPr>
        <w:t>(</w:t>
      </w:r>
      <w:bookmarkStart w:id="12" w:name="_Hlk89863828"/>
      <w:r w:rsidR="00D7705E" w:rsidRPr="002E3573">
        <w:rPr>
          <w:color w:val="000000" w:themeColor="text1"/>
          <w:lang w:val="en-CA"/>
        </w:rPr>
        <w:t>Coviello et al</w:t>
      </w:r>
      <w:r w:rsidR="00D7705E">
        <w:rPr>
          <w:color w:val="000000" w:themeColor="text1"/>
          <w:lang w:val="en-CA"/>
        </w:rPr>
        <w:t>.</w:t>
      </w:r>
      <w:r w:rsidR="00D7705E" w:rsidRPr="002E3573">
        <w:rPr>
          <w:color w:val="000000" w:themeColor="text1"/>
          <w:lang w:val="en-CA"/>
        </w:rPr>
        <w:t>, 2017</w:t>
      </w:r>
      <w:r w:rsidR="00D7705E">
        <w:rPr>
          <w:color w:val="000000" w:themeColor="text1"/>
          <w:lang w:val="en-CA"/>
        </w:rPr>
        <w:t>;</w:t>
      </w:r>
      <w:r w:rsidR="00D7705E" w:rsidRPr="002E3573">
        <w:rPr>
          <w:color w:val="000000" w:themeColor="text1"/>
          <w:lang w:val="en-CA"/>
        </w:rPr>
        <w:t xml:space="preserve"> Monaghan et al., 2019</w:t>
      </w:r>
      <w:bookmarkEnd w:id="12"/>
      <w:r w:rsidR="00D7705E" w:rsidRPr="002E3573">
        <w:rPr>
          <w:color w:val="000000" w:themeColor="text1"/>
          <w:lang w:val="en-CA"/>
        </w:rPr>
        <w:t>).</w:t>
      </w:r>
    </w:p>
    <w:p w14:paraId="4EBBFF9F" w14:textId="2A22A0E7" w:rsidR="00ED7EB7" w:rsidRDefault="00D82668" w:rsidP="00ED7EB7">
      <w:pPr>
        <w:spacing w:line="480" w:lineRule="auto"/>
        <w:ind w:firstLine="720"/>
        <w:jc w:val="both"/>
        <w:rPr>
          <w:color w:val="000000" w:themeColor="text1"/>
          <w:lang w:val="en-CA"/>
        </w:rPr>
      </w:pPr>
      <w:r w:rsidRPr="002E3573">
        <w:rPr>
          <w:color w:val="000000" w:themeColor="text1"/>
          <w:lang w:val="en-CA"/>
        </w:rPr>
        <w:t xml:space="preserve">Thus, </w:t>
      </w:r>
      <w:r>
        <w:rPr>
          <w:color w:val="000000" w:themeColor="text1"/>
          <w:lang w:val="en-CA"/>
        </w:rPr>
        <w:t xml:space="preserve">entrepreneurship </w:t>
      </w:r>
      <w:r w:rsidRPr="002E3573">
        <w:rPr>
          <w:color w:val="000000" w:themeColor="text1"/>
          <w:lang w:val="en-CA"/>
        </w:rPr>
        <w:t xml:space="preserve">scholars </w:t>
      </w:r>
      <w:r>
        <w:rPr>
          <w:color w:val="000000" w:themeColor="text1"/>
          <w:lang w:val="en-CA"/>
        </w:rPr>
        <w:t>face two</w:t>
      </w:r>
      <w:r w:rsidRPr="002E3573">
        <w:rPr>
          <w:color w:val="000000" w:themeColor="text1"/>
          <w:lang w:val="en-CA"/>
        </w:rPr>
        <w:t xml:space="preserve"> divergent conceptualizations of internationalization</w:t>
      </w:r>
      <w:r>
        <w:rPr>
          <w:color w:val="000000" w:themeColor="text1"/>
          <w:lang w:val="en-CA"/>
        </w:rPr>
        <w:t>. O</w:t>
      </w:r>
      <w:r w:rsidRPr="002E3573">
        <w:rPr>
          <w:color w:val="000000" w:themeColor="text1"/>
          <w:lang w:val="en-CA"/>
        </w:rPr>
        <w:t>ne</w:t>
      </w:r>
      <w:r>
        <w:rPr>
          <w:color w:val="000000" w:themeColor="text1"/>
          <w:lang w:val="en-CA"/>
        </w:rPr>
        <w:t>,</w:t>
      </w:r>
      <w:r w:rsidRPr="002E3573">
        <w:rPr>
          <w:color w:val="000000" w:themeColor="text1"/>
          <w:lang w:val="en-CA"/>
        </w:rPr>
        <w:t xml:space="preserve"> speak</w:t>
      </w:r>
      <w:r>
        <w:rPr>
          <w:color w:val="000000" w:themeColor="text1"/>
          <w:lang w:val="en-CA"/>
        </w:rPr>
        <w:t>ing</w:t>
      </w:r>
      <w:r w:rsidRPr="002E3573">
        <w:rPr>
          <w:color w:val="000000" w:themeColor="text1"/>
          <w:lang w:val="en-CA"/>
        </w:rPr>
        <w:t xml:space="preserve"> to traditional sectors</w:t>
      </w:r>
      <w:r>
        <w:rPr>
          <w:color w:val="000000" w:themeColor="text1"/>
          <w:lang w:val="en-CA"/>
        </w:rPr>
        <w:t>,</w:t>
      </w:r>
      <w:r w:rsidRPr="002E3573">
        <w:rPr>
          <w:color w:val="000000" w:themeColor="text1"/>
          <w:lang w:val="en-CA"/>
        </w:rPr>
        <w:t xml:space="preserve"> portray</w:t>
      </w:r>
      <w:r>
        <w:rPr>
          <w:color w:val="000000" w:themeColor="text1"/>
          <w:lang w:val="en-CA"/>
        </w:rPr>
        <w:t>s</w:t>
      </w:r>
      <w:r w:rsidRPr="002E3573">
        <w:rPr>
          <w:color w:val="000000" w:themeColor="text1"/>
          <w:lang w:val="en-CA"/>
        </w:rPr>
        <w:t xml:space="preserve"> foreign market entry as a difficult step</w:t>
      </w:r>
      <w:r>
        <w:rPr>
          <w:color w:val="000000" w:themeColor="text1"/>
          <w:lang w:val="en-CA"/>
        </w:rPr>
        <w:t>,</w:t>
      </w:r>
      <w:r w:rsidRPr="002E3573">
        <w:rPr>
          <w:color w:val="000000" w:themeColor="text1"/>
          <w:lang w:val="en-CA"/>
        </w:rPr>
        <w:t xml:space="preserve"> involving risk-bearing action</w:t>
      </w:r>
      <w:r>
        <w:rPr>
          <w:color w:val="000000" w:themeColor="text1"/>
          <w:lang w:val="en-CA"/>
        </w:rPr>
        <w:t xml:space="preserve"> (</w:t>
      </w:r>
      <w:bookmarkStart w:id="13" w:name="_Hlk89863835"/>
      <w:r w:rsidR="007C0DB8">
        <w:rPr>
          <w:color w:val="000000" w:themeColor="text1"/>
          <w:lang w:val="en-CA"/>
        </w:rPr>
        <w:t xml:space="preserve">Crick &amp; Crick, 2016; </w:t>
      </w:r>
      <w:r>
        <w:rPr>
          <w:color w:val="000000" w:themeColor="text1"/>
          <w:lang w:val="en-CA"/>
        </w:rPr>
        <w:t xml:space="preserve">Sapienza, Autio, George &amp; Zahra, 2006; Yan, Williams &amp; Hunt, 2020). </w:t>
      </w:r>
      <w:bookmarkEnd w:id="13"/>
      <w:r>
        <w:rPr>
          <w:color w:val="000000" w:themeColor="text1"/>
          <w:lang w:val="en-CA"/>
        </w:rPr>
        <w:t>T</w:t>
      </w:r>
      <w:r w:rsidRPr="002E3573">
        <w:rPr>
          <w:color w:val="000000" w:themeColor="text1"/>
          <w:lang w:val="en-CA"/>
        </w:rPr>
        <w:t xml:space="preserve">he other, focusing on </w:t>
      </w:r>
      <w:r>
        <w:rPr>
          <w:color w:val="000000" w:themeColor="text1"/>
          <w:lang w:val="en-CA"/>
        </w:rPr>
        <w:t xml:space="preserve">digital </w:t>
      </w:r>
      <w:r w:rsidRPr="002E3573">
        <w:rPr>
          <w:color w:val="000000" w:themeColor="text1"/>
          <w:lang w:val="en-CA"/>
        </w:rPr>
        <w:t xml:space="preserve">new ventures, </w:t>
      </w:r>
      <w:r>
        <w:rPr>
          <w:color w:val="000000" w:themeColor="text1"/>
          <w:lang w:val="en-CA"/>
        </w:rPr>
        <w:t xml:space="preserve">assumes that </w:t>
      </w:r>
      <w:r w:rsidR="00FB3191">
        <w:rPr>
          <w:color w:val="000000" w:themeColor="text1"/>
          <w:lang w:val="en-CA"/>
        </w:rPr>
        <w:t>digita</w:t>
      </w:r>
      <w:r w:rsidR="00D7705E">
        <w:rPr>
          <w:color w:val="000000" w:themeColor="text1"/>
          <w:lang w:val="en-CA"/>
        </w:rPr>
        <w:t xml:space="preserve">l </w:t>
      </w:r>
      <w:r>
        <w:rPr>
          <w:color w:val="000000" w:themeColor="text1"/>
          <w:lang w:val="en-CA"/>
        </w:rPr>
        <w:t>technology</w:t>
      </w:r>
      <w:r w:rsidRPr="002E3573">
        <w:rPr>
          <w:color w:val="000000" w:themeColor="text1"/>
          <w:lang w:val="en-CA"/>
        </w:rPr>
        <w:t xml:space="preserve"> </w:t>
      </w:r>
      <w:r>
        <w:rPr>
          <w:color w:val="000000" w:themeColor="text1"/>
          <w:lang w:val="en-CA"/>
        </w:rPr>
        <w:t xml:space="preserve">enables firms to </w:t>
      </w:r>
      <w:r w:rsidRPr="002E3573">
        <w:rPr>
          <w:color w:val="000000" w:themeColor="text1"/>
          <w:lang w:val="en-CA"/>
        </w:rPr>
        <w:t>transcend spatial boundaries (</w:t>
      </w:r>
      <w:bookmarkStart w:id="14" w:name="_Hlk89863842"/>
      <w:r w:rsidRPr="002E3573">
        <w:rPr>
          <w:color w:val="000000" w:themeColor="text1"/>
          <w:lang w:val="en-CA"/>
        </w:rPr>
        <w:t>Nambisan, 2017</w:t>
      </w:r>
      <w:bookmarkEnd w:id="14"/>
      <w:r w:rsidRPr="002E3573">
        <w:rPr>
          <w:color w:val="000000" w:themeColor="text1"/>
          <w:lang w:val="en-CA"/>
        </w:rPr>
        <w:t>)</w:t>
      </w:r>
      <w:r>
        <w:rPr>
          <w:color w:val="000000" w:themeColor="text1"/>
          <w:lang w:val="en-CA"/>
        </w:rPr>
        <w:t>, thereby casting</w:t>
      </w:r>
      <w:r w:rsidRPr="002E3573">
        <w:rPr>
          <w:color w:val="000000" w:themeColor="text1"/>
          <w:lang w:val="en-CA"/>
        </w:rPr>
        <w:t xml:space="preserve"> internationalization as a “natural condition” </w:t>
      </w:r>
      <w:bookmarkStart w:id="15" w:name="_Hlk89863911"/>
      <w:r w:rsidRPr="002E3573">
        <w:rPr>
          <w:color w:val="000000" w:themeColor="text1"/>
          <w:lang w:val="en-CA"/>
        </w:rPr>
        <w:t>(</w:t>
      </w:r>
      <w:proofErr w:type="spellStart"/>
      <w:r w:rsidRPr="002E3573">
        <w:rPr>
          <w:color w:val="000000" w:themeColor="text1"/>
          <w:lang w:val="en-CA"/>
        </w:rPr>
        <w:t>Onetti</w:t>
      </w:r>
      <w:proofErr w:type="spellEnd"/>
      <w:r w:rsidR="00A60470">
        <w:rPr>
          <w:color w:val="000000" w:themeColor="text1"/>
          <w:lang w:val="en-CA"/>
        </w:rPr>
        <w:t>, Zucchella, Jones &amp; McDougall-Covin</w:t>
      </w:r>
      <w:r w:rsidRPr="002E3573">
        <w:rPr>
          <w:color w:val="000000" w:themeColor="text1"/>
          <w:lang w:val="en-CA"/>
        </w:rPr>
        <w:t>, 2012: 358</w:t>
      </w:r>
      <w:bookmarkEnd w:id="15"/>
      <w:r w:rsidRPr="002E3573">
        <w:rPr>
          <w:color w:val="000000" w:themeColor="text1"/>
          <w:lang w:val="en-CA"/>
        </w:rPr>
        <w:t>)</w:t>
      </w:r>
      <w:r>
        <w:rPr>
          <w:color w:val="000000" w:themeColor="text1"/>
          <w:lang w:val="en-CA"/>
        </w:rPr>
        <w:t>, in which</w:t>
      </w:r>
      <w:r w:rsidRPr="002E3573">
        <w:rPr>
          <w:color w:val="000000" w:themeColor="text1"/>
          <w:lang w:val="en-CA"/>
        </w:rPr>
        <w:t xml:space="preserve"> </w:t>
      </w:r>
      <w:r>
        <w:rPr>
          <w:color w:val="000000" w:themeColor="text1"/>
          <w:lang w:val="en-CA"/>
        </w:rPr>
        <w:t xml:space="preserve">digital </w:t>
      </w:r>
      <w:r w:rsidRPr="002E3573">
        <w:rPr>
          <w:color w:val="000000" w:themeColor="text1"/>
          <w:lang w:val="en-CA"/>
        </w:rPr>
        <w:t xml:space="preserve">ventures </w:t>
      </w:r>
      <w:r w:rsidR="00ED7EB7">
        <w:rPr>
          <w:color w:val="000000" w:themeColor="text1"/>
          <w:lang w:val="en-CA"/>
        </w:rPr>
        <w:t>engage in rapid</w:t>
      </w:r>
      <w:r>
        <w:rPr>
          <w:color w:val="000000" w:themeColor="text1"/>
          <w:lang w:val="en-CA"/>
        </w:rPr>
        <w:t xml:space="preserve"> and extensive</w:t>
      </w:r>
      <w:r w:rsidR="00ED7EB7">
        <w:rPr>
          <w:color w:val="000000" w:themeColor="text1"/>
          <w:lang w:val="en-CA"/>
        </w:rPr>
        <w:t xml:space="preserve"> expansion into foreign markets. </w:t>
      </w:r>
      <w:r>
        <w:rPr>
          <w:color w:val="000000" w:themeColor="text1"/>
          <w:lang w:val="en-CA"/>
        </w:rPr>
        <w:t>Yet, emerging evidence</w:t>
      </w:r>
      <w:r w:rsidRPr="002E3573">
        <w:rPr>
          <w:color w:val="000000" w:themeColor="text1"/>
          <w:lang w:val="en-CA"/>
        </w:rPr>
        <w:t xml:space="preserve"> suggest</w:t>
      </w:r>
      <w:r>
        <w:rPr>
          <w:color w:val="000000" w:themeColor="text1"/>
          <w:lang w:val="en-CA"/>
        </w:rPr>
        <w:t>s</w:t>
      </w:r>
      <w:r w:rsidRPr="002E3573">
        <w:rPr>
          <w:color w:val="000000" w:themeColor="text1"/>
          <w:lang w:val="en-CA"/>
        </w:rPr>
        <w:t xml:space="preserve"> that </w:t>
      </w:r>
      <w:r>
        <w:rPr>
          <w:color w:val="000000" w:themeColor="text1"/>
          <w:lang w:val="en-CA"/>
        </w:rPr>
        <w:t>digitalization has not been an unmitigated game-</w:t>
      </w:r>
      <w:r>
        <w:rPr>
          <w:color w:val="000000" w:themeColor="text1"/>
          <w:lang w:val="en-CA"/>
        </w:rPr>
        <w:lastRenderedPageBreak/>
        <w:t>changer</w:t>
      </w:r>
      <w:r w:rsidR="00553CEA">
        <w:rPr>
          <w:color w:val="000000" w:themeColor="text1"/>
          <w:lang w:val="en-CA"/>
        </w:rPr>
        <w:t xml:space="preserve">. Rather, </w:t>
      </w:r>
      <w:r w:rsidRPr="002E3573">
        <w:rPr>
          <w:color w:val="000000" w:themeColor="text1"/>
          <w:lang w:val="en-CA"/>
        </w:rPr>
        <w:t xml:space="preserve">a high degree of variation </w:t>
      </w:r>
      <w:r>
        <w:rPr>
          <w:color w:val="000000" w:themeColor="text1"/>
          <w:lang w:val="en-CA"/>
        </w:rPr>
        <w:t xml:space="preserve">exists in the timing and speed of internationalization among </w:t>
      </w:r>
      <w:r w:rsidRPr="002E3573">
        <w:rPr>
          <w:color w:val="000000" w:themeColor="text1"/>
          <w:lang w:val="en-CA"/>
        </w:rPr>
        <w:t>digital venture</w:t>
      </w:r>
      <w:r>
        <w:rPr>
          <w:color w:val="000000" w:themeColor="text1"/>
          <w:lang w:val="en-CA"/>
        </w:rPr>
        <w:t xml:space="preserve">s </w:t>
      </w:r>
      <w:r w:rsidRPr="002E3573">
        <w:rPr>
          <w:color w:val="000000" w:themeColor="text1"/>
          <w:lang w:val="en-CA"/>
        </w:rPr>
        <w:t>(</w:t>
      </w:r>
      <w:bookmarkStart w:id="16" w:name="_Hlk89863929"/>
      <w:r w:rsidRPr="002E3573">
        <w:rPr>
          <w:color w:val="000000" w:themeColor="text1"/>
          <w:lang w:val="en-CA"/>
        </w:rPr>
        <w:t xml:space="preserve">Chen et al., 2019; </w:t>
      </w:r>
      <w:proofErr w:type="spellStart"/>
      <w:r w:rsidRPr="002E3573">
        <w:rPr>
          <w:color w:val="000000" w:themeColor="text1"/>
          <w:lang w:val="en-CA"/>
        </w:rPr>
        <w:t>Domurath</w:t>
      </w:r>
      <w:proofErr w:type="spellEnd"/>
      <w:r w:rsidRPr="002E3573">
        <w:rPr>
          <w:color w:val="000000" w:themeColor="text1"/>
          <w:lang w:val="en-CA"/>
        </w:rPr>
        <w:t>,</w:t>
      </w:r>
      <w:r w:rsidR="001543B6">
        <w:rPr>
          <w:color w:val="000000" w:themeColor="text1"/>
          <w:lang w:val="en-CA"/>
        </w:rPr>
        <w:t xml:space="preserve"> Coviello, Patzelt &amp; </w:t>
      </w:r>
      <w:proofErr w:type="spellStart"/>
      <w:r w:rsidR="001543B6">
        <w:rPr>
          <w:color w:val="000000" w:themeColor="text1"/>
          <w:lang w:val="en-CA"/>
        </w:rPr>
        <w:t>Ganal</w:t>
      </w:r>
      <w:proofErr w:type="spellEnd"/>
      <w:r w:rsidR="001543B6">
        <w:rPr>
          <w:color w:val="000000" w:themeColor="text1"/>
          <w:lang w:val="en-CA"/>
        </w:rPr>
        <w:t>,</w:t>
      </w:r>
      <w:r w:rsidRPr="002E3573">
        <w:rPr>
          <w:color w:val="000000" w:themeColor="text1"/>
          <w:lang w:val="en-CA"/>
        </w:rPr>
        <w:t xml:space="preserve"> 2020; </w:t>
      </w:r>
      <w:proofErr w:type="spellStart"/>
      <w:r w:rsidRPr="002E3573">
        <w:rPr>
          <w:color w:val="000000" w:themeColor="text1"/>
          <w:lang w:val="en-CA"/>
        </w:rPr>
        <w:t>Shaheer</w:t>
      </w:r>
      <w:proofErr w:type="spellEnd"/>
      <w:r w:rsidRPr="002E3573">
        <w:rPr>
          <w:color w:val="000000" w:themeColor="text1"/>
          <w:lang w:val="en-CA"/>
        </w:rPr>
        <w:t xml:space="preserve"> &amp; Li, 2020; </w:t>
      </w:r>
      <w:proofErr w:type="spellStart"/>
      <w:r w:rsidRPr="002E3573">
        <w:rPr>
          <w:color w:val="000000" w:themeColor="text1"/>
          <w:lang w:val="en-CA"/>
        </w:rPr>
        <w:t>Wentrup</w:t>
      </w:r>
      <w:proofErr w:type="spellEnd"/>
      <w:r w:rsidRPr="002E3573">
        <w:rPr>
          <w:color w:val="000000" w:themeColor="text1"/>
          <w:lang w:val="en-CA"/>
        </w:rPr>
        <w:t>, 2016</w:t>
      </w:r>
      <w:bookmarkEnd w:id="16"/>
      <w:r w:rsidRPr="002E3573">
        <w:rPr>
          <w:color w:val="000000" w:themeColor="text1"/>
          <w:lang w:val="en-CA"/>
        </w:rPr>
        <w:t>)</w:t>
      </w:r>
      <w:r w:rsidR="00ED7EB7">
        <w:rPr>
          <w:color w:val="000000" w:themeColor="text1"/>
          <w:lang w:val="en-CA"/>
        </w:rPr>
        <w:t xml:space="preserve">; variance that is </w:t>
      </w:r>
      <w:r w:rsidR="00452655">
        <w:rPr>
          <w:color w:val="000000" w:themeColor="text1"/>
          <w:lang w:val="en-CA"/>
        </w:rPr>
        <w:t>not sufficiently</w:t>
      </w:r>
      <w:r w:rsidR="00ED7EB7">
        <w:rPr>
          <w:color w:val="000000" w:themeColor="text1"/>
          <w:lang w:val="en-CA"/>
        </w:rPr>
        <w:t xml:space="preserve"> accounted for in existing conceptions of digitalization</w:t>
      </w:r>
      <w:r>
        <w:rPr>
          <w:color w:val="000000" w:themeColor="text1"/>
          <w:lang w:val="en-CA"/>
        </w:rPr>
        <w:t xml:space="preserve">. </w:t>
      </w:r>
      <w:r w:rsidR="00ED7EB7">
        <w:rPr>
          <w:color w:val="000000" w:themeColor="text1"/>
          <w:lang w:val="en-CA"/>
        </w:rPr>
        <w:t xml:space="preserve">Accordingly, </w:t>
      </w:r>
      <w:r>
        <w:rPr>
          <w:color w:val="000000" w:themeColor="text1"/>
          <w:lang w:val="en-CA"/>
        </w:rPr>
        <w:t>we ask:</w:t>
      </w:r>
      <w:r w:rsidR="00745929">
        <w:rPr>
          <w:color w:val="000000" w:themeColor="text1"/>
          <w:lang w:val="en-CA"/>
        </w:rPr>
        <w:t xml:space="preserve"> </w:t>
      </w:r>
      <w:bookmarkStart w:id="17" w:name="_Hlk89931727"/>
      <w:r w:rsidR="00ED7EB7">
        <w:rPr>
          <w:color w:val="000000" w:themeColor="text1"/>
          <w:lang w:val="en-CA"/>
        </w:rPr>
        <w:t xml:space="preserve">Why do some digital firms quickly achieve a wide international presence, while others struggle to gain even a minimal foothold in foreign markets? </w:t>
      </w:r>
    </w:p>
    <w:bookmarkEnd w:id="17"/>
    <w:p w14:paraId="5168613A" w14:textId="330BE37F" w:rsidR="00EB2FC7" w:rsidRPr="002E3573" w:rsidRDefault="001543B6">
      <w:pPr>
        <w:spacing w:line="480" w:lineRule="auto"/>
        <w:ind w:firstLine="720"/>
        <w:jc w:val="both"/>
        <w:rPr>
          <w:color w:val="000000" w:themeColor="text1"/>
        </w:rPr>
      </w:pPr>
      <w:r>
        <w:rPr>
          <w:color w:val="000000" w:themeColor="text1"/>
        </w:rPr>
        <w:t>We examine</w:t>
      </w:r>
      <w:r w:rsidR="00582DAA" w:rsidRPr="002E3573">
        <w:rPr>
          <w:color w:val="000000" w:themeColor="text1"/>
        </w:rPr>
        <w:t xml:space="preserve"> </w:t>
      </w:r>
      <w:r w:rsidR="00582DAA">
        <w:rPr>
          <w:color w:val="000000" w:themeColor="text1"/>
        </w:rPr>
        <w:t>this puzzling heterogeneity</w:t>
      </w:r>
      <w:r>
        <w:rPr>
          <w:color w:val="000000" w:themeColor="text1"/>
        </w:rPr>
        <w:t xml:space="preserve"> by investigating </w:t>
      </w:r>
      <w:r w:rsidR="000C0BCD">
        <w:rPr>
          <w:color w:val="000000" w:themeColor="text1"/>
        </w:rPr>
        <w:t>a diverse set of</w:t>
      </w:r>
      <w:r w:rsidR="00582DAA" w:rsidRPr="002E3573">
        <w:rPr>
          <w:color w:val="000000" w:themeColor="text1"/>
        </w:rPr>
        <w:t xml:space="preserve"> </w:t>
      </w:r>
      <w:r w:rsidR="00404A04" w:rsidRPr="002E3573">
        <w:rPr>
          <w:color w:val="000000" w:themeColor="text1"/>
        </w:rPr>
        <w:t xml:space="preserve">169 U.S.-based digital </w:t>
      </w:r>
      <w:r w:rsidR="00EF3126">
        <w:rPr>
          <w:color w:val="000000" w:themeColor="text1"/>
        </w:rPr>
        <w:t>ventures</w:t>
      </w:r>
      <w:r w:rsidR="006E352F">
        <w:rPr>
          <w:color w:val="000000" w:themeColor="text1"/>
        </w:rPr>
        <w:t>.</w:t>
      </w:r>
      <w:r w:rsidR="00EF3126" w:rsidRPr="002E3573">
        <w:rPr>
          <w:color w:val="000000" w:themeColor="text1"/>
        </w:rPr>
        <w:t xml:space="preserve"> </w:t>
      </w:r>
      <w:r w:rsidR="00813E4D">
        <w:rPr>
          <w:color w:val="000000" w:themeColor="text1"/>
        </w:rPr>
        <w:t xml:space="preserve">Whereas </w:t>
      </w:r>
      <w:r w:rsidR="00FE2247">
        <w:rPr>
          <w:color w:val="000000" w:themeColor="text1"/>
        </w:rPr>
        <w:t>prior</w:t>
      </w:r>
      <w:r w:rsidR="00EA2AFC">
        <w:rPr>
          <w:color w:val="000000" w:themeColor="text1"/>
        </w:rPr>
        <w:t xml:space="preserve"> empirical</w:t>
      </w:r>
      <w:r w:rsidR="00813E4D">
        <w:rPr>
          <w:color w:val="000000" w:themeColor="text1"/>
        </w:rPr>
        <w:t xml:space="preserve"> research</w:t>
      </w:r>
      <w:r w:rsidR="00E200D8">
        <w:rPr>
          <w:color w:val="000000" w:themeColor="text1"/>
        </w:rPr>
        <w:t xml:space="preserve"> </w:t>
      </w:r>
      <w:r w:rsidR="00813E4D">
        <w:rPr>
          <w:color w:val="000000" w:themeColor="text1"/>
        </w:rPr>
        <w:t>has</w:t>
      </w:r>
      <w:r w:rsidR="00813E4D" w:rsidRPr="00813E4D">
        <w:rPr>
          <w:color w:val="000000" w:themeColor="text1"/>
        </w:rPr>
        <w:t xml:space="preserve"> </w:t>
      </w:r>
      <w:r w:rsidR="00217CFD">
        <w:rPr>
          <w:color w:val="000000" w:themeColor="text1"/>
        </w:rPr>
        <w:t xml:space="preserve">examined </w:t>
      </w:r>
      <w:r w:rsidR="00CE2D2F">
        <w:rPr>
          <w:color w:val="000000" w:themeColor="text1"/>
        </w:rPr>
        <w:t xml:space="preserve">early efforts </w:t>
      </w:r>
      <w:r w:rsidR="005B109F">
        <w:rPr>
          <w:color w:val="000000" w:themeColor="text1"/>
        </w:rPr>
        <w:t>by</w:t>
      </w:r>
      <w:r w:rsidR="00E200D8">
        <w:rPr>
          <w:color w:val="000000" w:themeColor="text1"/>
        </w:rPr>
        <w:t xml:space="preserve"> </w:t>
      </w:r>
      <w:r w:rsidR="00863300">
        <w:rPr>
          <w:color w:val="000000" w:themeColor="text1"/>
        </w:rPr>
        <w:t xml:space="preserve">nascent </w:t>
      </w:r>
      <w:r w:rsidR="00E200D8">
        <w:rPr>
          <w:color w:val="000000" w:themeColor="text1"/>
        </w:rPr>
        <w:t xml:space="preserve">digital ventures </w:t>
      </w:r>
      <w:r w:rsidR="00CE2D2F">
        <w:rPr>
          <w:color w:val="000000" w:themeColor="text1"/>
        </w:rPr>
        <w:t xml:space="preserve">to build an </w:t>
      </w:r>
      <w:r w:rsidR="00813E4D">
        <w:rPr>
          <w:color w:val="000000" w:themeColor="text1"/>
        </w:rPr>
        <w:t xml:space="preserve">international user base (Chen et al., 2019; </w:t>
      </w:r>
      <w:bookmarkStart w:id="18" w:name="_Hlk89863949"/>
      <w:r w:rsidR="00FE2247">
        <w:rPr>
          <w:color w:val="000000" w:themeColor="text1"/>
        </w:rPr>
        <w:t xml:space="preserve">Reuber &amp; Fischer, 2009; </w:t>
      </w:r>
      <w:proofErr w:type="spellStart"/>
      <w:r w:rsidR="00813E4D">
        <w:rPr>
          <w:color w:val="000000" w:themeColor="text1"/>
        </w:rPr>
        <w:t>Shaheer</w:t>
      </w:r>
      <w:proofErr w:type="spellEnd"/>
      <w:r w:rsidR="00813E4D">
        <w:rPr>
          <w:color w:val="000000" w:themeColor="text1"/>
        </w:rPr>
        <w:t xml:space="preserve"> &amp; Li, 2020</w:t>
      </w:r>
      <w:bookmarkEnd w:id="18"/>
      <w:r w:rsidR="00813E4D">
        <w:rPr>
          <w:color w:val="000000" w:themeColor="text1"/>
        </w:rPr>
        <w:t>)</w:t>
      </w:r>
      <w:r w:rsidR="00753BD5">
        <w:rPr>
          <w:color w:val="000000" w:themeColor="text1"/>
        </w:rPr>
        <w:t xml:space="preserve">, our study </w:t>
      </w:r>
      <w:r w:rsidR="00CB50B0">
        <w:rPr>
          <w:color w:val="000000" w:themeColor="text1"/>
        </w:rPr>
        <w:t xml:space="preserve">expands </w:t>
      </w:r>
      <w:r w:rsidR="00753BD5">
        <w:rPr>
          <w:color w:val="000000" w:themeColor="text1"/>
        </w:rPr>
        <w:t xml:space="preserve">the focus to </w:t>
      </w:r>
      <w:r w:rsidR="0045191C">
        <w:rPr>
          <w:color w:val="000000" w:themeColor="text1"/>
        </w:rPr>
        <w:t xml:space="preserve">value </w:t>
      </w:r>
      <w:r w:rsidR="0045191C" w:rsidRPr="001543B6">
        <w:rPr>
          <w:color w:val="000000" w:themeColor="text1"/>
        </w:rPr>
        <w:t>capture</w:t>
      </w:r>
      <w:r w:rsidR="0045191C">
        <w:rPr>
          <w:color w:val="000000" w:themeColor="text1"/>
        </w:rPr>
        <w:t xml:space="preserve">, </w:t>
      </w:r>
      <w:r w:rsidR="00163788">
        <w:rPr>
          <w:color w:val="000000" w:themeColor="text1"/>
        </w:rPr>
        <w:t xml:space="preserve">by examining </w:t>
      </w:r>
      <w:r w:rsidR="00163788" w:rsidRPr="001543B6">
        <w:rPr>
          <w:i/>
          <w:iCs/>
          <w:color w:val="000000" w:themeColor="text1"/>
        </w:rPr>
        <w:t>revenues</w:t>
      </w:r>
      <w:r w:rsidR="00163788">
        <w:rPr>
          <w:color w:val="000000" w:themeColor="text1"/>
        </w:rPr>
        <w:t xml:space="preserve"> derived from foreign markets</w:t>
      </w:r>
      <w:r w:rsidR="00753BD5">
        <w:rPr>
          <w:color w:val="000000" w:themeColor="text1"/>
        </w:rPr>
        <w:t>.</w:t>
      </w:r>
      <w:r w:rsidR="0064364B">
        <w:rPr>
          <w:color w:val="000000" w:themeColor="text1"/>
        </w:rPr>
        <w:t xml:space="preserve"> </w:t>
      </w:r>
      <w:r w:rsidR="000C0BCD">
        <w:rPr>
          <w:color w:val="000000" w:themeColor="text1"/>
        </w:rPr>
        <w:t xml:space="preserve">Doing so exposes critical </w:t>
      </w:r>
      <w:r w:rsidR="00541028">
        <w:rPr>
          <w:color w:val="000000" w:themeColor="text1"/>
        </w:rPr>
        <w:t xml:space="preserve">issues related to the scalability of digital ventures </w:t>
      </w:r>
      <w:r w:rsidR="00541028" w:rsidRPr="003E76BE">
        <w:rPr>
          <w:color w:val="000000" w:themeColor="text1"/>
          <w:lang w:val="en-CA"/>
        </w:rPr>
        <w:t>(</w:t>
      </w:r>
      <w:bookmarkStart w:id="19" w:name="_Hlk89863959"/>
      <w:r w:rsidR="00541028" w:rsidRPr="003E76BE">
        <w:rPr>
          <w:color w:val="000000" w:themeColor="text1"/>
          <w:lang w:val="en-CA"/>
        </w:rPr>
        <w:t>Adner, Puranam &amp; Zhu, 2019; Huang et al., 2017; Reuber</w:t>
      </w:r>
      <w:r w:rsidR="00160231">
        <w:rPr>
          <w:color w:val="000000" w:themeColor="text1"/>
          <w:lang w:val="en-CA"/>
        </w:rPr>
        <w:t>, Tippmann &amp; Monaghan, 2021</w:t>
      </w:r>
      <w:bookmarkEnd w:id="19"/>
      <w:r w:rsidR="00541028" w:rsidRPr="003E76BE">
        <w:rPr>
          <w:color w:val="000000" w:themeColor="text1"/>
          <w:lang w:val="en-CA"/>
        </w:rPr>
        <w:t>)</w:t>
      </w:r>
      <w:r w:rsidR="00CB50B0">
        <w:rPr>
          <w:color w:val="000000" w:themeColor="text1"/>
          <w:lang w:val="en-CA"/>
        </w:rPr>
        <w:t>,</w:t>
      </w:r>
      <w:r w:rsidR="00745929">
        <w:rPr>
          <w:color w:val="000000" w:themeColor="text1"/>
          <w:lang w:val="en-CA"/>
        </w:rPr>
        <w:t xml:space="preserve"> </w:t>
      </w:r>
      <w:r w:rsidR="00FC77C4">
        <w:rPr>
          <w:color w:val="000000" w:themeColor="text1"/>
          <w:lang w:val="en-CA"/>
        </w:rPr>
        <w:t xml:space="preserve">particularly the </w:t>
      </w:r>
      <w:r w:rsidR="00F6036B">
        <w:rPr>
          <w:color w:val="000000" w:themeColor="text1"/>
          <w:lang w:val="en-CA"/>
        </w:rPr>
        <w:t>impact</w:t>
      </w:r>
      <w:r w:rsidR="00FC77C4">
        <w:rPr>
          <w:color w:val="000000" w:themeColor="text1"/>
          <w:lang w:val="en-CA"/>
        </w:rPr>
        <w:t xml:space="preserve"> of non-technical factors</w:t>
      </w:r>
      <w:r w:rsidR="00F6036B">
        <w:rPr>
          <w:color w:val="000000" w:themeColor="text1"/>
          <w:lang w:val="en-CA"/>
        </w:rPr>
        <w:t xml:space="preserve">. </w:t>
      </w:r>
      <w:r w:rsidR="00A80F51">
        <w:rPr>
          <w:color w:val="000000" w:themeColor="text1"/>
          <w:lang w:val="en-CA"/>
        </w:rPr>
        <w:t>Crucially, digital resources do not place a</w:t>
      </w:r>
      <w:r w:rsidR="008B7D52">
        <w:rPr>
          <w:color w:val="000000" w:themeColor="text1"/>
          <w:lang w:val="en-CA"/>
        </w:rPr>
        <w:t xml:space="preserve"> </w:t>
      </w:r>
      <w:r w:rsidR="00A80F51">
        <w:rPr>
          <w:color w:val="000000" w:themeColor="text1"/>
          <w:lang w:val="en-CA"/>
        </w:rPr>
        <w:t xml:space="preserve">firm </w:t>
      </w:r>
      <w:r w:rsidR="008B7D52">
        <w:rPr>
          <w:color w:val="000000" w:themeColor="text1"/>
          <w:lang w:val="en-CA"/>
        </w:rPr>
        <w:t>on auto-pilot</w:t>
      </w:r>
      <w:r w:rsidR="00A80F51">
        <w:rPr>
          <w:color w:val="000000" w:themeColor="text1"/>
          <w:lang w:val="en-CA"/>
        </w:rPr>
        <w:t xml:space="preserve"> to global markets</w:t>
      </w:r>
      <w:r w:rsidR="008B7D52">
        <w:rPr>
          <w:color w:val="000000" w:themeColor="text1"/>
          <w:lang w:val="en-CA"/>
        </w:rPr>
        <w:t>. For start-ups and growth-oriented firms,</w:t>
      </w:r>
      <w:r w:rsidR="00FB265E">
        <w:rPr>
          <w:color w:val="000000" w:themeColor="text1"/>
          <w:lang w:val="en-CA"/>
        </w:rPr>
        <w:t xml:space="preserve"> the orchestration of resources remains a persistent challenge, and</w:t>
      </w:r>
      <w:r w:rsidR="008B7D52">
        <w:rPr>
          <w:color w:val="000000" w:themeColor="text1"/>
          <w:lang w:val="en-CA"/>
        </w:rPr>
        <w:t xml:space="preserve"> resource-structuring behaviors are decisive to </w:t>
      </w:r>
      <w:r w:rsidR="00ED7EB7">
        <w:rPr>
          <w:color w:val="000000" w:themeColor="text1"/>
          <w:lang w:val="en-CA"/>
        </w:rPr>
        <w:t xml:space="preserve">the </w:t>
      </w:r>
      <w:r w:rsidR="008B7D52">
        <w:rPr>
          <w:color w:val="000000" w:themeColor="text1"/>
          <w:lang w:val="en-CA"/>
        </w:rPr>
        <w:t>success or failure of their respective business models and the</w:t>
      </w:r>
      <w:r w:rsidR="0045191C">
        <w:rPr>
          <w:color w:val="000000" w:themeColor="text1"/>
          <w:lang w:val="en-CA"/>
        </w:rPr>
        <w:t>ir</w:t>
      </w:r>
      <w:r w:rsidR="008B7D52">
        <w:rPr>
          <w:color w:val="000000" w:themeColor="text1"/>
          <w:lang w:val="en-CA"/>
        </w:rPr>
        <w:t xml:space="preserve"> ability to </w:t>
      </w:r>
      <w:r w:rsidR="0045191C">
        <w:rPr>
          <w:color w:val="000000" w:themeColor="text1"/>
          <w:lang w:val="en-CA"/>
        </w:rPr>
        <w:t>pursue profitable growth in foreign markets (</w:t>
      </w:r>
      <w:bookmarkStart w:id="20" w:name="_Hlk89863974"/>
      <w:r w:rsidR="000E118E">
        <w:rPr>
          <w:color w:val="000000" w:themeColor="text1"/>
          <w:lang w:val="en-CA"/>
        </w:rPr>
        <w:t xml:space="preserve">Sirmon et al., 2011; </w:t>
      </w:r>
      <w:proofErr w:type="spellStart"/>
      <w:r w:rsidR="000E118E">
        <w:rPr>
          <w:color w:val="000000" w:themeColor="text1"/>
          <w:lang w:val="en-CA"/>
        </w:rPr>
        <w:t>Sraha</w:t>
      </w:r>
      <w:proofErr w:type="spellEnd"/>
      <w:r w:rsidR="000E118E">
        <w:rPr>
          <w:color w:val="000000" w:themeColor="text1"/>
          <w:lang w:val="en-CA"/>
        </w:rPr>
        <w:t>, Sharma, Crick &amp; Crick, 2020</w:t>
      </w:r>
      <w:bookmarkEnd w:id="20"/>
      <w:r w:rsidR="0045191C">
        <w:rPr>
          <w:color w:val="000000" w:themeColor="text1"/>
          <w:lang w:val="en-CA"/>
        </w:rPr>
        <w:t>)</w:t>
      </w:r>
      <w:r w:rsidR="008B7D52">
        <w:rPr>
          <w:color w:val="000000" w:themeColor="text1"/>
          <w:lang w:val="en-CA"/>
        </w:rPr>
        <w:t>. Digital resources may change the kind of structuring behaviors that are required</w:t>
      </w:r>
      <w:r w:rsidR="00163788">
        <w:rPr>
          <w:color w:val="000000" w:themeColor="text1"/>
          <w:lang w:val="en-CA"/>
        </w:rPr>
        <w:t xml:space="preserve">, but do not diminish their importance. </w:t>
      </w:r>
    </w:p>
    <w:p w14:paraId="36867EE3" w14:textId="22FB0ED7" w:rsidR="0065441D" w:rsidRDefault="005B109F" w:rsidP="00EC12ED">
      <w:pPr>
        <w:spacing w:line="480" w:lineRule="auto"/>
        <w:ind w:firstLine="720"/>
        <w:jc w:val="both"/>
        <w:rPr>
          <w:color w:val="000000" w:themeColor="text1"/>
        </w:rPr>
      </w:pPr>
      <w:r>
        <w:rPr>
          <w:color w:val="000000" w:themeColor="text1"/>
        </w:rPr>
        <w:t>Our</w:t>
      </w:r>
      <w:r w:rsidRPr="002E3573">
        <w:rPr>
          <w:color w:val="000000" w:themeColor="text1"/>
        </w:rPr>
        <w:t xml:space="preserve"> </w:t>
      </w:r>
      <w:r w:rsidR="00F65F8E" w:rsidRPr="002E3573">
        <w:rPr>
          <w:color w:val="000000" w:themeColor="text1"/>
        </w:rPr>
        <w:t>study</w:t>
      </w:r>
      <w:r w:rsidR="00CF7958" w:rsidRPr="002E3573">
        <w:rPr>
          <w:color w:val="000000" w:themeColor="text1"/>
        </w:rPr>
        <w:t xml:space="preserve"> makes </w:t>
      </w:r>
      <w:r w:rsidR="00B45A71" w:rsidRPr="002E3573">
        <w:rPr>
          <w:color w:val="000000" w:themeColor="text1"/>
        </w:rPr>
        <w:t>several</w:t>
      </w:r>
      <w:r w:rsidR="00CF7958" w:rsidRPr="002E3573">
        <w:rPr>
          <w:color w:val="000000" w:themeColor="text1"/>
        </w:rPr>
        <w:t xml:space="preserve"> contributions. First, we </w:t>
      </w:r>
      <w:r w:rsidR="009A6E6D">
        <w:rPr>
          <w:color w:val="000000" w:themeColor="text1"/>
        </w:rPr>
        <w:t>enhance extant theories of resource and asset management in foreign markets (</w:t>
      </w:r>
      <w:bookmarkStart w:id="21" w:name="_Hlk89863986"/>
      <w:r w:rsidR="009A6E6D">
        <w:rPr>
          <w:color w:val="000000" w:themeColor="text1"/>
        </w:rPr>
        <w:t>Pisano &amp; Teece, 2007; Teece, 2018</w:t>
      </w:r>
      <w:r w:rsidR="00EC12ED">
        <w:rPr>
          <w:color w:val="000000" w:themeColor="text1"/>
        </w:rPr>
        <w:t>; Verbeke &amp; Kano, 2016</w:t>
      </w:r>
      <w:bookmarkEnd w:id="21"/>
      <w:r w:rsidR="009A6E6D">
        <w:rPr>
          <w:color w:val="000000" w:themeColor="text1"/>
        </w:rPr>
        <w:t>) by updating conceptualizations of resource orchestration (</w:t>
      </w:r>
      <w:bookmarkStart w:id="22" w:name="_Hlk89863993"/>
      <w:proofErr w:type="spellStart"/>
      <w:r w:rsidR="00101FF0" w:rsidRPr="00101FF0">
        <w:rPr>
          <w:color w:val="000000" w:themeColor="text1"/>
        </w:rPr>
        <w:t>Pitelis</w:t>
      </w:r>
      <w:proofErr w:type="spellEnd"/>
      <w:r w:rsidR="00101FF0" w:rsidRPr="00101FF0">
        <w:rPr>
          <w:color w:val="000000" w:themeColor="text1"/>
        </w:rPr>
        <w:t xml:space="preserve"> &amp; Teece, 2018</w:t>
      </w:r>
      <w:r w:rsidR="00101FF0">
        <w:rPr>
          <w:color w:val="000000" w:themeColor="text1"/>
        </w:rPr>
        <w:t xml:space="preserve">; </w:t>
      </w:r>
      <w:r w:rsidR="009A6E6D">
        <w:rPr>
          <w:color w:val="000000" w:themeColor="text1"/>
        </w:rPr>
        <w:t>Sirmon et al., 2011</w:t>
      </w:r>
      <w:bookmarkEnd w:id="22"/>
      <w:r w:rsidR="009A6E6D">
        <w:rPr>
          <w:color w:val="000000" w:themeColor="text1"/>
        </w:rPr>
        <w:t>)</w:t>
      </w:r>
      <w:r w:rsidR="00163788">
        <w:rPr>
          <w:color w:val="000000" w:themeColor="text1"/>
        </w:rPr>
        <w:t xml:space="preserve"> in the context of digital resources.</w:t>
      </w:r>
      <w:r w:rsidR="009A6E6D">
        <w:rPr>
          <w:color w:val="000000" w:themeColor="text1"/>
        </w:rPr>
        <w:t xml:space="preserve"> </w:t>
      </w:r>
      <w:r w:rsidR="001F2CFA">
        <w:rPr>
          <w:color w:val="000000" w:themeColor="text1"/>
        </w:rPr>
        <w:t xml:space="preserve">Our findings reveal that in many cases traditional, </w:t>
      </w:r>
      <w:r w:rsidR="003901AD">
        <w:rPr>
          <w:color w:val="000000" w:themeColor="text1"/>
        </w:rPr>
        <w:t>non-digital</w:t>
      </w:r>
      <w:r w:rsidR="001F2CFA">
        <w:rPr>
          <w:color w:val="000000" w:themeColor="text1"/>
        </w:rPr>
        <w:t xml:space="preserve"> resources play an indispensable, complementary role in the internationalization of digital firms.</w:t>
      </w:r>
      <w:r w:rsidR="009A6E6D">
        <w:rPr>
          <w:color w:val="000000" w:themeColor="text1"/>
        </w:rPr>
        <w:t xml:space="preserve"> As such, we offer a more complete – and more realistic – framework for the </w:t>
      </w:r>
      <w:r w:rsidR="009A6E6D">
        <w:rPr>
          <w:color w:val="000000" w:themeColor="text1"/>
        </w:rPr>
        <w:lastRenderedPageBreak/>
        <w:t>simultaneous orchestration of digital and non-digital resources. Building on this insight, a s</w:t>
      </w:r>
      <w:r w:rsidR="00CF7958" w:rsidRPr="002E3573">
        <w:rPr>
          <w:color w:val="000000" w:themeColor="text1"/>
        </w:rPr>
        <w:t>econd</w:t>
      </w:r>
      <w:r w:rsidR="009A6E6D">
        <w:rPr>
          <w:color w:val="000000" w:themeColor="text1"/>
        </w:rPr>
        <w:t xml:space="preserve"> contribution of our study involves </w:t>
      </w:r>
      <w:r w:rsidR="00867E02">
        <w:rPr>
          <w:color w:val="000000" w:themeColor="text1"/>
        </w:rPr>
        <w:t xml:space="preserve">drawing attention to persistent challenges that impede the internationalization of digital ventures. </w:t>
      </w:r>
      <w:r w:rsidR="009A6E6D">
        <w:rPr>
          <w:color w:val="000000" w:themeColor="text1"/>
        </w:rPr>
        <w:t>Contrary to e</w:t>
      </w:r>
      <w:r w:rsidR="002B40D4" w:rsidRPr="002E3573">
        <w:rPr>
          <w:color w:val="000000" w:themeColor="text1"/>
        </w:rPr>
        <w:t xml:space="preserve">xisting literature </w:t>
      </w:r>
      <w:r w:rsidR="009A6E6D">
        <w:rPr>
          <w:color w:val="000000" w:themeColor="text1"/>
        </w:rPr>
        <w:t>valorizing</w:t>
      </w:r>
      <w:r w:rsidR="002B40D4" w:rsidRPr="002E3573">
        <w:rPr>
          <w:color w:val="000000" w:themeColor="text1"/>
        </w:rPr>
        <w:t xml:space="preserve"> digital infrastructure </w:t>
      </w:r>
      <w:r w:rsidR="009A6E6D">
        <w:rPr>
          <w:color w:val="000000" w:themeColor="text1"/>
        </w:rPr>
        <w:t>as a conduit</w:t>
      </w:r>
      <w:r w:rsidR="00EB2FC7">
        <w:rPr>
          <w:color w:val="000000" w:themeColor="text1"/>
        </w:rPr>
        <w:t xml:space="preserve"> </w:t>
      </w:r>
      <w:r w:rsidR="008D5C8F">
        <w:rPr>
          <w:color w:val="000000" w:themeColor="text1"/>
        </w:rPr>
        <w:t xml:space="preserve">to </w:t>
      </w:r>
      <w:r w:rsidR="00972A37" w:rsidRPr="002E3573">
        <w:rPr>
          <w:color w:val="000000" w:themeColor="text1"/>
        </w:rPr>
        <w:t xml:space="preserve">geographically unbounded entrepreneurship </w:t>
      </w:r>
      <w:r w:rsidR="001F304A" w:rsidRPr="002E3573">
        <w:rPr>
          <w:color w:val="000000" w:themeColor="text1"/>
        </w:rPr>
        <w:t>(</w:t>
      </w:r>
      <w:r w:rsidR="001F304A">
        <w:rPr>
          <w:color w:val="000000" w:themeColor="text1"/>
        </w:rPr>
        <w:t>Adner et al., 2019; Autio et al., 2021</w:t>
      </w:r>
      <w:r w:rsidR="001F304A" w:rsidRPr="002E3573">
        <w:rPr>
          <w:color w:val="000000" w:themeColor="text1"/>
        </w:rPr>
        <w:t>)</w:t>
      </w:r>
      <w:r w:rsidR="001F304A">
        <w:rPr>
          <w:color w:val="000000" w:themeColor="text1"/>
        </w:rPr>
        <w:t xml:space="preserve"> </w:t>
      </w:r>
      <w:r w:rsidR="00972A37" w:rsidRPr="002E3573">
        <w:rPr>
          <w:color w:val="000000" w:themeColor="text1"/>
        </w:rPr>
        <w:t>and</w:t>
      </w:r>
      <w:r w:rsidR="00CF7958" w:rsidRPr="002E3573">
        <w:rPr>
          <w:color w:val="000000" w:themeColor="text1"/>
        </w:rPr>
        <w:t xml:space="preserve"> </w:t>
      </w:r>
      <w:r w:rsidR="00972A37" w:rsidRPr="002E3573">
        <w:rPr>
          <w:color w:val="000000" w:themeColor="text1"/>
        </w:rPr>
        <w:t xml:space="preserve">inherently international </w:t>
      </w:r>
      <w:r w:rsidR="00CF7958" w:rsidRPr="002E3573">
        <w:rPr>
          <w:color w:val="000000" w:themeColor="text1"/>
        </w:rPr>
        <w:t>firms</w:t>
      </w:r>
      <w:r w:rsidR="00972A37" w:rsidRPr="002E3573">
        <w:rPr>
          <w:color w:val="000000" w:themeColor="text1"/>
        </w:rPr>
        <w:t xml:space="preserve"> (Autio, 2017; Nambisan, 2017; </w:t>
      </w:r>
      <w:proofErr w:type="spellStart"/>
      <w:r w:rsidR="00972A37" w:rsidRPr="002E3573">
        <w:rPr>
          <w:color w:val="000000" w:themeColor="text1"/>
        </w:rPr>
        <w:t>Onetti</w:t>
      </w:r>
      <w:proofErr w:type="spellEnd"/>
      <w:r w:rsidR="00972A37" w:rsidRPr="002E3573">
        <w:rPr>
          <w:color w:val="000000" w:themeColor="text1"/>
        </w:rPr>
        <w:t xml:space="preserve"> et al., 2012)</w:t>
      </w:r>
      <w:r w:rsidR="009A6E6D">
        <w:rPr>
          <w:color w:val="000000" w:themeColor="text1"/>
        </w:rPr>
        <w:t>,</w:t>
      </w:r>
      <w:r w:rsidR="00FF4293">
        <w:rPr>
          <w:color w:val="000000" w:themeColor="text1"/>
        </w:rPr>
        <w:t xml:space="preserve"> we show that</w:t>
      </w:r>
      <w:r w:rsidR="00B45A71" w:rsidRPr="002E3573">
        <w:rPr>
          <w:color w:val="000000" w:themeColor="text1"/>
        </w:rPr>
        <w:t xml:space="preserve"> the international scalability of digital ventures remains constrained by non-technical factors</w:t>
      </w:r>
      <w:r w:rsidR="001F4741" w:rsidRPr="002E3573">
        <w:rPr>
          <w:color w:val="000000" w:themeColor="text1"/>
        </w:rPr>
        <w:t>, such as</w:t>
      </w:r>
      <w:r w:rsidR="003750B5" w:rsidRPr="002E3573">
        <w:rPr>
          <w:color w:val="000000" w:themeColor="text1"/>
        </w:rPr>
        <w:t xml:space="preserve"> </w:t>
      </w:r>
      <w:r w:rsidR="003901AD">
        <w:rPr>
          <w:color w:val="000000" w:themeColor="text1"/>
        </w:rPr>
        <w:t xml:space="preserve">heterogeneous </w:t>
      </w:r>
      <w:r w:rsidR="003750B5" w:rsidRPr="002E3573">
        <w:rPr>
          <w:color w:val="000000" w:themeColor="text1"/>
        </w:rPr>
        <w:t xml:space="preserve">customer characteristics and the </w:t>
      </w:r>
      <w:r w:rsidR="00020EFB">
        <w:rPr>
          <w:color w:val="000000" w:themeColor="text1"/>
        </w:rPr>
        <w:t xml:space="preserve">role of </w:t>
      </w:r>
      <w:r w:rsidR="003750B5" w:rsidRPr="002E3573">
        <w:rPr>
          <w:color w:val="000000" w:themeColor="text1"/>
        </w:rPr>
        <w:t xml:space="preserve">non-digital </w:t>
      </w:r>
      <w:r w:rsidR="00E4126A">
        <w:rPr>
          <w:color w:val="000000" w:themeColor="text1"/>
        </w:rPr>
        <w:t>value</w:t>
      </w:r>
      <w:r w:rsidR="003750B5" w:rsidRPr="002E3573">
        <w:rPr>
          <w:color w:val="000000" w:themeColor="text1"/>
        </w:rPr>
        <w:t>-chain elements</w:t>
      </w:r>
      <w:r w:rsidR="00B45A71" w:rsidRPr="002E3573">
        <w:rPr>
          <w:color w:val="000000" w:themeColor="text1"/>
        </w:rPr>
        <w:t>.</w:t>
      </w:r>
      <w:r w:rsidR="00F65F8E" w:rsidRPr="002E3573">
        <w:rPr>
          <w:color w:val="000000" w:themeColor="text1"/>
        </w:rPr>
        <w:t xml:space="preserve"> Third, we offer new conceptual insights regarding the use of targeted acquisitions as a compensatory strategy </w:t>
      </w:r>
      <w:r w:rsidR="00D651BA">
        <w:rPr>
          <w:color w:val="000000" w:themeColor="text1"/>
        </w:rPr>
        <w:t xml:space="preserve">used </w:t>
      </w:r>
      <w:r w:rsidR="00F65F8E" w:rsidRPr="002E3573">
        <w:rPr>
          <w:color w:val="000000" w:themeColor="text1"/>
        </w:rPr>
        <w:t xml:space="preserve">by digital firms that find themselves unable to </w:t>
      </w:r>
      <w:r w:rsidR="003C55D5">
        <w:rPr>
          <w:color w:val="000000" w:themeColor="text1"/>
        </w:rPr>
        <w:t xml:space="preserve">develop </w:t>
      </w:r>
      <w:r w:rsidR="00846560">
        <w:rPr>
          <w:color w:val="000000" w:themeColor="text1"/>
        </w:rPr>
        <w:t xml:space="preserve">essential </w:t>
      </w:r>
      <w:r w:rsidR="001F2CFA">
        <w:rPr>
          <w:color w:val="000000" w:themeColor="text1"/>
        </w:rPr>
        <w:t xml:space="preserve">complementary resources </w:t>
      </w:r>
      <w:r w:rsidR="00846560">
        <w:rPr>
          <w:color w:val="000000" w:themeColor="text1"/>
        </w:rPr>
        <w:t>internally.</w:t>
      </w:r>
      <w:r w:rsidR="00F65F8E" w:rsidRPr="002E3573">
        <w:rPr>
          <w:color w:val="000000" w:themeColor="text1"/>
        </w:rPr>
        <w:t xml:space="preserve"> </w:t>
      </w:r>
      <w:r w:rsidR="009A6E6D">
        <w:rPr>
          <w:color w:val="000000" w:themeColor="text1"/>
        </w:rPr>
        <w:t xml:space="preserve">Lastly, </w:t>
      </w:r>
      <w:r w:rsidR="00C22EDF" w:rsidRPr="002E3573">
        <w:rPr>
          <w:color w:val="000000" w:themeColor="text1"/>
        </w:rPr>
        <w:t xml:space="preserve">we </w:t>
      </w:r>
      <w:r w:rsidR="00675E87" w:rsidRPr="002E3573">
        <w:rPr>
          <w:color w:val="000000" w:themeColor="text1"/>
        </w:rPr>
        <w:t xml:space="preserve">contribute much-needed </w:t>
      </w:r>
      <w:r w:rsidR="004F005B">
        <w:rPr>
          <w:color w:val="000000" w:themeColor="text1"/>
        </w:rPr>
        <w:t xml:space="preserve">firm-level </w:t>
      </w:r>
      <w:r w:rsidR="00675E87" w:rsidRPr="002E3573">
        <w:rPr>
          <w:color w:val="000000" w:themeColor="text1"/>
        </w:rPr>
        <w:t xml:space="preserve">evidence to the emerging debate </w:t>
      </w:r>
      <w:r w:rsidR="00627F79">
        <w:rPr>
          <w:color w:val="000000" w:themeColor="text1"/>
        </w:rPr>
        <w:t>concerning</w:t>
      </w:r>
      <w:r w:rsidR="00627F79" w:rsidRPr="002E3573">
        <w:rPr>
          <w:color w:val="000000" w:themeColor="text1"/>
        </w:rPr>
        <w:t xml:space="preserve"> </w:t>
      </w:r>
      <w:r w:rsidR="00627F79">
        <w:rPr>
          <w:color w:val="000000" w:themeColor="text1"/>
        </w:rPr>
        <w:t xml:space="preserve">the </w:t>
      </w:r>
      <w:r w:rsidR="001F2CFA">
        <w:rPr>
          <w:color w:val="000000" w:themeColor="text1"/>
        </w:rPr>
        <w:t xml:space="preserve">extent to which </w:t>
      </w:r>
      <w:r w:rsidR="00675E87" w:rsidRPr="002E3573">
        <w:rPr>
          <w:color w:val="000000" w:themeColor="text1"/>
        </w:rPr>
        <w:t xml:space="preserve">digital </w:t>
      </w:r>
      <w:r w:rsidR="00813E4D">
        <w:rPr>
          <w:color w:val="000000" w:themeColor="text1"/>
        </w:rPr>
        <w:t>firms</w:t>
      </w:r>
      <w:r w:rsidR="00813E4D" w:rsidRPr="002E3573">
        <w:rPr>
          <w:color w:val="000000" w:themeColor="text1"/>
        </w:rPr>
        <w:t xml:space="preserve"> </w:t>
      </w:r>
      <w:r w:rsidR="001F2CFA">
        <w:rPr>
          <w:color w:val="000000" w:themeColor="text1"/>
        </w:rPr>
        <w:t xml:space="preserve">pursue early-stage internationalization </w:t>
      </w:r>
      <w:r w:rsidR="00675E87" w:rsidRPr="002E3573">
        <w:rPr>
          <w:color w:val="000000" w:themeColor="text1"/>
        </w:rPr>
        <w:t>(</w:t>
      </w:r>
      <w:bookmarkStart w:id="23" w:name="_Hlk89864009"/>
      <w:r w:rsidR="00675E87" w:rsidRPr="002E3573">
        <w:rPr>
          <w:color w:val="000000" w:themeColor="text1"/>
        </w:rPr>
        <w:t xml:space="preserve">Autio &amp; Zander, 2016; </w:t>
      </w:r>
      <w:proofErr w:type="spellStart"/>
      <w:r w:rsidR="00583674">
        <w:rPr>
          <w:color w:val="000000" w:themeColor="text1"/>
        </w:rPr>
        <w:t>Banalieva</w:t>
      </w:r>
      <w:proofErr w:type="spellEnd"/>
      <w:r w:rsidR="00583674">
        <w:rPr>
          <w:color w:val="000000" w:themeColor="text1"/>
        </w:rPr>
        <w:t xml:space="preserve"> &amp; </w:t>
      </w:r>
      <w:proofErr w:type="spellStart"/>
      <w:r w:rsidR="00583674">
        <w:rPr>
          <w:color w:val="000000" w:themeColor="text1"/>
        </w:rPr>
        <w:t>Dhanaraj</w:t>
      </w:r>
      <w:proofErr w:type="spellEnd"/>
      <w:r w:rsidR="00583674">
        <w:rPr>
          <w:color w:val="000000" w:themeColor="text1"/>
        </w:rPr>
        <w:t>, 2019</w:t>
      </w:r>
      <w:bookmarkEnd w:id="23"/>
      <w:r w:rsidR="00583674">
        <w:rPr>
          <w:color w:val="000000" w:themeColor="text1"/>
        </w:rPr>
        <w:t xml:space="preserve">; </w:t>
      </w:r>
      <w:r w:rsidR="00675E87" w:rsidRPr="002E3573">
        <w:rPr>
          <w:color w:val="000000" w:themeColor="text1"/>
        </w:rPr>
        <w:t xml:space="preserve">Monaghan et al., 2019; Nambisan, 2017). </w:t>
      </w:r>
      <w:r w:rsidR="009A6E6D">
        <w:rPr>
          <w:color w:val="000000" w:themeColor="text1"/>
        </w:rPr>
        <w:t>While we do not</w:t>
      </w:r>
      <w:r w:rsidR="00EF10CB" w:rsidRPr="002E3573">
        <w:rPr>
          <w:color w:val="000000" w:themeColor="text1"/>
        </w:rPr>
        <w:t xml:space="preserve"> disput</w:t>
      </w:r>
      <w:r w:rsidR="009A6E6D">
        <w:rPr>
          <w:color w:val="000000" w:themeColor="text1"/>
        </w:rPr>
        <w:t>e</w:t>
      </w:r>
      <w:r w:rsidR="00EF10CB" w:rsidRPr="002E3573">
        <w:rPr>
          <w:color w:val="000000" w:themeColor="text1"/>
        </w:rPr>
        <w:t xml:space="preserve"> the </w:t>
      </w:r>
      <w:r w:rsidR="00C6494A" w:rsidRPr="002E3573">
        <w:rPr>
          <w:color w:val="000000" w:themeColor="text1"/>
        </w:rPr>
        <w:t xml:space="preserve">transformative </w:t>
      </w:r>
      <w:r w:rsidR="009A6E6D">
        <w:rPr>
          <w:color w:val="000000" w:themeColor="text1"/>
        </w:rPr>
        <w:t>capacity</w:t>
      </w:r>
      <w:r w:rsidR="009A6E6D" w:rsidRPr="002E3573">
        <w:rPr>
          <w:color w:val="000000" w:themeColor="text1"/>
        </w:rPr>
        <w:t xml:space="preserve"> </w:t>
      </w:r>
      <w:r w:rsidR="00C6494A" w:rsidRPr="002E3573">
        <w:rPr>
          <w:color w:val="000000" w:themeColor="text1"/>
        </w:rPr>
        <w:t>of digitalization,</w:t>
      </w:r>
      <w:r w:rsidR="00EF10CB" w:rsidRPr="002E3573">
        <w:rPr>
          <w:color w:val="000000" w:themeColor="text1"/>
        </w:rPr>
        <w:t xml:space="preserve"> </w:t>
      </w:r>
      <w:r w:rsidR="00C6494A" w:rsidRPr="002E3573">
        <w:rPr>
          <w:color w:val="000000" w:themeColor="text1"/>
        </w:rPr>
        <w:t xml:space="preserve">our research suggests </w:t>
      </w:r>
      <w:r w:rsidR="00C04371" w:rsidRPr="002E3573">
        <w:rPr>
          <w:color w:val="000000" w:themeColor="text1"/>
        </w:rPr>
        <w:t xml:space="preserve">the need for a more nuanced conceptualization of how digitalization </w:t>
      </w:r>
      <w:r w:rsidR="00D651BA">
        <w:rPr>
          <w:color w:val="000000" w:themeColor="text1"/>
        </w:rPr>
        <w:t xml:space="preserve">affects </w:t>
      </w:r>
      <w:r w:rsidR="00846E19">
        <w:rPr>
          <w:color w:val="000000" w:themeColor="text1"/>
        </w:rPr>
        <w:t xml:space="preserve">the </w:t>
      </w:r>
      <w:r w:rsidR="00C04371" w:rsidRPr="002E3573">
        <w:rPr>
          <w:color w:val="000000" w:themeColor="text1"/>
        </w:rPr>
        <w:t>internationaliz</w:t>
      </w:r>
      <w:r w:rsidR="00846E19">
        <w:rPr>
          <w:color w:val="000000" w:themeColor="text1"/>
        </w:rPr>
        <w:t>ation of</w:t>
      </w:r>
      <w:r w:rsidR="00C04371" w:rsidRPr="002E3573">
        <w:rPr>
          <w:color w:val="000000" w:themeColor="text1"/>
        </w:rPr>
        <w:t xml:space="preserve"> </w:t>
      </w:r>
      <w:r w:rsidR="00D651BA">
        <w:rPr>
          <w:color w:val="000000" w:themeColor="text1"/>
        </w:rPr>
        <w:t>new ventures.</w:t>
      </w:r>
    </w:p>
    <w:p w14:paraId="1B0E71CB" w14:textId="77777777" w:rsidR="009A6E6D" w:rsidRDefault="009A6E6D" w:rsidP="00ED5CBC">
      <w:pPr>
        <w:spacing w:line="480" w:lineRule="auto"/>
        <w:jc w:val="both"/>
        <w:rPr>
          <w:color w:val="000000" w:themeColor="text1"/>
        </w:rPr>
      </w:pPr>
    </w:p>
    <w:p w14:paraId="398100C6" w14:textId="240D226E" w:rsidR="0065441D" w:rsidRPr="00B019AD" w:rsidRDefault="0065441D" w:rsidP="0065441D">
      <w:pPr>
        <w:pStyle w:val="Heading1"/>
      </w:pPr>
      <w:r>
        <w:t>LITERATURE REVIEW</w:t>
      </w:r>
    </w:p>
    <w:p w14:paraId="76DE58C3" w14:textId="502E376E" w:rsidR="00AD7489" w:rsidRDefault="00497A63" w:rsidP="0065441D">
      <w:pPr>
        <w:pStyle w:val="Heading2"/>
        <w:jc w:val="both"/>
      </w:pPr>
      <w:bookmarkStart w:id="24" w:name="_Toc507834863"/>
      <w:bookmarkStart w:id="25" w:name="_Toc508360783"/>
      <w:r>
        <w:t>Resource</w:t>
      </w:r>
      <w:r w:rsidR="00AD7489">
        <w:t>-based theories of internationalization</w:t>
      </w:r>
    </w:p>
    <w:p w14:paraId="0C63AF59" w14:textId="1A0E90C6" w:rsidR="0014710C" w:rsidRDefault="006E352F" w:rsidP="009C5755">
      <w:pPr>
        <w:spacing w:line="480" w:lineRule="auto"/>
        <w:ind w:firstLine="720"/>
        <w:jc w:val="both"/>
      </w:pPr>
      <w:r>
        <w:rPr>
          <w:lang w:val="en-CA"/>
        </w:rPr>
        <w:t>Research in strategic management and international business suggests that r</w:t>
      </w:r>
      <w:r w:rsidR="00203116">
        <w:rPr>
          <w:lang w:val="en-CA"/>
        </w:rPr>
        <w:t>esources and capabilities</w:t>
      </w:r>
      <w:r w:rsidR="007A3700" w:rsidRPr="007A3700">
        <w:rPr>
          <w:vertAlign w:val="superscript"/>
          <w:lang w:val="en-CA"/>
        </w:rPr>
        <w:t>1</w:t>
      </w:r>
      <w:r w:rsidR="00203116">
        <w:rPr>
          <w:lang w:val="en-CA"/>
        </w:rPr>
        <w:t xml:space="preserve"> </w:t>
      </w:r>
      <w:r w:rsidR="0050023F">
        <w:rPr>
          <w:lang w:val="en-CA"/>
        </w:rPr>
        <w:t>play a central role in</w:t>
      </w:r>
      <w:r>
        <w:rPr>
          <w:lang w:val="en-CA"/>
        </w:rPr>
        <w:t xml:space="preserve"> the international expansion of firms (</w:t>
      </w:r>
      <w:bookmarkStart w:id="26" w:name="_Hlk89864017"/>
      <w:r w:rsidR="00A80C81">
        <w:rPr>
          <w:lang w:val="en-CA"/>
        </w:rPr>
        <w:t xml:space="preserve">Hennart, 2009; </w:t>
      </w:r>
      <w:r w:rsidR="0032281C">
        <w:rPr>
          <w:lang w:val="en-CA"/>
        </w:rPr>
        <w:t>Sapienza</w:t>
      </w:r>
      <w:r w:rsidR="00115593">
        <w:rPr>
          <w:lang w:val="en-CA"/>
        </w:rPr>
        <w:t xml:space="preserve"> et al.</w:t>
      </w:r>
      <w:r w:rsidR="0032281C">
        <w:rPr>
          <w:lang w:val="en-CA"/>
        </w:rPr>
        <w:t xml:space="preserve">, 2006; </w:t>
      </w:r>
      <w:r>
        <w:t xml:space="preserve">Teece &amp; </w:t>
      </w:r>
      <w:proofErr w:type="spellStart"/>
      <w:r>
        <w:t>Petricevic</w:t>
      </w:r>
      <w:proofErr w:type="spellEnd"/>
      <w:r w:rsidR="0063600E">
        <w:t>,</w:t>
      </w:r>
      <w:r>
        <w:t xml:space="preserve"> 2021; Verbeke &amp; Kano, 2016)</w:t>
      </w:r>
      <w:bookmarkEnd w:id="26"/>
      <w:r>
        <w:t xml:space="preserve">. </w:t>
      </w:r>
      <w:r w:rsidR="0014710C">
        <w:t xml:space="preserve">Building on the pioneering work of </w:t>
      </w:r>
      <w:bookmarkStart w:id="27" w:name="_Hlk89864025"/>
      <w:r w:rsidR="0014710C">
        <w:t>Edith Penrose (1959)</w:t>
      </w:r>
      <w:bookmarkEnd w:id="27"/>
      <w:r w:rsidR="0014710C">
        <w:t>,</w:t>
      </w:r>
      <w:r w:rsidR="000A38BF">
        <w:t xml:space="preserve"> strategy scholars have defined resources as “assets, capabilities, organizational processes, ﬁrm attributes, information, knowledge, etc. controlled by a firm that </w:t>
      </w:r>
      <w:r w:rsidR="000A38BF">
        <w:lastRenderedPageBreak/>
        <w:t>enable the firm to conceive of and implement strategies that improve its efficiency and effectiveness” (</w:t>
      </w:r>
      <w:bookmarkStart w:id="28" w:name="_Hlk89864033"/>
      <w:r w:rsidR="000A38BF">
        <w:t>Barney, 1991</w:t>
      </w:r>
      <w:bookmarkEnd w:id="28"/>
      <w:r w:rsidR="000A38BF">
        <w:t xml:space="preserve">: 101). The resource-based view (RBV) holds that control of certain types of resources </w:t>
      </w:r>
      <w:r w:rsidR="009C377D">
        <w:t xml:space="preserve">can provide firms with a competitive advantage over rivals (Barney, 1991), </w:t>
      </w:r>
      <w:r w:rsidR="00F559EB">
        <w:t xml:space="preserve">and that a firm’s existing resource base may allow it </w:t>
      </w:r>
      <w:r w:rsidR="009C377D">
        <w:t xml:space="preserve">to expand into new markets – including new </w:t>
      </w:r>
      <w:r w:rsidR="003C7C21">
        <w:t>geographic and product markets (</w:t>
      </w:r>
      <w:bookmarkStart w:id="29" w:name="_Hlk89864047"/>
      <w:r w:rsidR="003C7C21">
        <w:t>Teece, 1982</w:t>
      </w:r>
      <w:bookmarkEnd w:id="29"/>
      <w:r w:rsidR="00B71035">
        <w:t>, 2014</w:t>
      </w:r>
      <w:r w:rsidR="003C7C21">
        <w:t xml:space="preserve">; </w:t>
      </w:r>
      <w:r w:rsidR="00620D41">
        <w:t>Penrose, 1959</w:t>
      </w:r>
      <w:bookmarkStart w:id="30" w:name="_Hlk89864042"/>
      <w:r w:rsidR="00620D41">
        <w:t xml:space="preserve">; </w:t>
      </w:r>
      <w:r w:rsidR="003C7C21">
        <w:t>Wernerfelt, 1984</w:t>
      </w:r>
      <w:bookmarkEnd w:id="30"/>
      <w:r w:rsidR="003C7C21">
        <w:t>)</w:t>
      </w:r>
      <w:r w:rsidR="00F559EB">
        <w:t>.</w:t>
      </w:r>
    </w:p>
    <w:p w14:paraId="6A644068" w14:textId="600B63A2" w:rsidR="003036D3" w:rsidRDefault="00F559EB" w:rsidP="0074315F">
      <w:pPr>
        <w:spacing w:line="480" w:lineRule="auto"/>
        <w:ind w:firstLine="720"/>
        <w:jc w:val="both"/>
      </w:pPr>
      <w:r>
        <w:t>Similar resource-based arguments were developed by scholars in international business, under the umbrella of internalization theory</w:t>
      </w:r>
      <w:r w:rsidR="004B0ECE" w:rsidRPr="004B0ECE">
        <w:rPr>
          <w:vertAlign w:val="superscript"/>
        </w:rPr>
        <w:t>2</w:t>
      </w:r>
      <w:r>
        <w:t>, which has become the dominant theory in international business research (Teece, 2014; Verbeke &amp; Kano, 2016).</w:t>
      </w:r>
      <w:r w:rsidR="00856AB7">
        <w:t xml:space="preserve"> These scholars have argued that firms possessing </w:t>
      </w:r>
      <w:r w:rsidR="00620D41">
        <w:t>valuable resources</w:t>
      </w:r>
      <w:r w:rsidR="00041F34">
        <w:t>, such as advanced technological know-how or strong marketing capabilities,</w:t>
      </w:r>
      <w:r w:rsidR="00222626">
        <w:t xml:space="preserve"> will</w:t>
      </w:r>
      <w:r w:rsidR="00244DF0">
        <w:t xml:space="preserve"> seek to </w:t>
      </w:r>
      <w:r w:rsidR="000D482F">
        <w:t>exploit</w:t>
      </w:r>
      <w:r w:rsidR="00244DF0">
        <w:t xml:space="preserve"> these in foreign markets (</w:t>
      </w:r>
      <w:bookmarkStart w:id="31" w:name="_Hlk89864066"/>
      <w:r w:rsidR="006B5D2E">
        <w:t xml:space="preserve">Buckley &amp; Casson, 1976; </w:t>
      </w:r>
      <w:r w:rsidR="00FC13C9">
        <w:t xml:space="preserve">Hennart, 2009; </w:t>
      </w:r>
      <w:r w:rsidR="006B5D2E">
        <w:t>Rugman &amp; Verbeke, 2003</w:t>
      </w:r>
      <w:r w:rsidR="00FC13C9">
        <w:t>;</w:t>
      </w:r>
      <w:bookmarkEnd w:id="31"/>
      <w:r w:rsidR="00FC13C9">
        <w:t xml:space="preserve"> Verbeke &amp; Kano, 2016</w:t>
      </w:r>
      <w:r w:rsidR="00D72990">
        <w:t xml:space="preserve">). </w:t>
      </w:r>
      <w:r w:rsidR="00BB1691" w:rsidRPr="00BB1691">
        <w:t>However, profitably leveraging resources in distant foreign countries can be challenging</w:t>
      </w:r>
      <w:r w:rsidR="000D482F">
        <w:t>.</w:t>
      </w:r>
      <w:r w:rsidR="00C32AB3">
        <w:t xml:space="preserve"> An extensive literature has documented a multitude of barriers associated with foreign market entry, including</w:t>
      </w:r>
      <w:r w:rsidR="000D482F">
        <w:t xml:space="preserve"> physical distance, transportation costs, regulatory barriers,</w:t>
      </w:r>
      <w:r w:rsidR="00C32AB3">
        <w:t xml:space="preserve"> and </w:t>
      </w:r>
      <w:r w:rsidR="000D482F">
        <w:t>cultural</w:t>
      </w:r>
      <w:r w:rsidR="00C32AB3">
        <w:t xml:space="preserve"> and institutional</w:t>
      </w:r>
      <w:r w:rsidR="000D482F">
        <w:t xml:space="preserve"> differences</w:t>
      </w:r>
      <w:r w:rsidR="00C32AB3">
        <w:t xml:space="preserve"> </w:t>
      </w:r>
      <w:r w:rsidR="00C32AB3" w:rsidRPr="00B6059B">
        <w:t>(</w:t>
      </w:r>
      <w:bookmarkStart w:id="32" w:name="_Hlk89864075"/>
      <w:r w:rsidR="00C73671">
        <w:t>Ghemawat, 2001</w:t>
      </w:r>
      <w:r w:rsidR="003D3202">
        <w:t xml:space="preserve">; </w:t>
      </w:r>
      <w:proofErr w:type="spellStart"/>
      <w:r w:rsidR="003D3202">
        <w:t>Sraha</w:t>
      </w:r>
      <w:proofErr w:type="spellEnd"/>
      <w:r w:rsidR="003D3202">
        <w:t xml:space="preserve"> et al., 2020</w:t>
      </w:r>
      <w:bookmarkEnd w:id="32"/>
      <w:r w:rsidR="00C32AB3" w:rsidRPr="00B6059B">
        <w:t>).</w:t>
      </w:r>
      <w:r w:rsidR="00041F34" w:rsidRPr="00041F34">
        <w:t xml:space="preserve"> </w:t>
      </w:r>
    </w:p>
    <w:p w14:paraId="781BDF5E" w14:textId="6F41BEC3" w:rsidR="00FB3191" w:rsidRPr="00AB2B3B" w:rsidRDefault="00041F34" w:rsidP="00AB2B3B">
      <w:pPr>
        <w:spacing w:line="480" w:lineRule="auto"/>
        <w:ind w:firstLine="720"/>
        <w:jc w:val="both"/>
      </w:pPr>
      <w:r>
        <w:t xml:space="preserve">In many cases, firms face the daunting </w:t>
      </w:r>
      <w:r w:rsidRPr="006B5D2E">
        <w:t xml:space="preserve">task </w:t>
      </w:r>
      <w:r w:rsidRPr="00AB2B3B">
        <w:t xml:space="preserve">of replicating large parts of their value chain in </w:t>
      </w:r>
      <w:r w:rsidRPr="00C73671">
        <w:t>foreign markets</w:t>
      </w:r>
      <w:r w:rsidRPr="006B5D2E">
        <w:t>, such as production facilities</w:t>
      </w:r>
      <w:r w:rsidR="003036D3" w:rsidRPr="006B5D2E">
        <w:t>,</w:t>
      </w:r>
      <w:r>
        <w:t xml:space="preserve"> distribution networks</w:t>
      </w:r>
      <w:r w:rsidR="003036D3">
        <w:t>, or service locations</w:t>
      </w:r>
      <w:r>
        <w:t xml:space="preserve"> (</w:t>
      </w:r>
      <w:bookmarkStart w:id="33" w:name="_Hlk89864083"/>
      <w:r>
        <w:t>Teece, 2014</w:t>
      </w:r>
      <w:r w:rsidR="00AF6C50">
        <w:t xml:space="preserve">; Winter &amp; </w:t>
      </w:r>
      <w:proofErr w:type="spellStart"/>
      <w:r w:rsidR="00AF6C50">
        <w:t>Szulanski</w:t>
      </w:r>
      <w:proofErr w:type="spellEnd"/>
      <w:r w:rsidR="00AF6C50">
        <w:t>, 2001</w:t>
      </w:r>
      <w:bookmarkEnd w:id="33"/>
      <w:r>
        <w:t>)</w:t>
      </w:r>
      <w:r w:rsidR="003036D3">
        <w:t>. This requires the combination of internationally mobile resources with local resources (Hennart, 2009; Rugman &amp; Verbeke,</w:t>
      </w:r>
      <w:r w:rsidR="004B0ECE">
        <w:t xml:space="preserve"> </w:t>
      </w:r>
      <w:r w:rsidR="003036D3">
        <w:t xml:space="preserve">2003), </w:t>
      </w:r>
      <w:r w:rsidR="00AF6C50">
        <w:t xml:space="preserve">for example through the establishment of foreign subsidiaries, joint ventures, or contractual arrangements with foreign </w:t>
      </w:r>
      <w:r w:rsidR="00AF6C50" w:rsidRPr="00AB2B3B">
        <w:t>partners and suppliers.</w:t>
      </w:r>
      <w:r w:rsidR="00BB1691" w:rsidRPr="00AB2B3B">
        <w:t xml:space="preserve"> </w:t>
      </w:r>
    </w:p>
    <w:p w14:paraId="3CBB0186" w14:textId="628AD893" w:rsidR="00F559EB" w:rsidRDefault="00FB3191" w:rsidP="00AB2B3B">
      <w:pPr>
        <w:spacing w:line="480" w:lineRule="auto"/>
        <w:ind w:firstLine="720"/>
        <w:jc w:val="both"/>
      </w:pPr>
      <w:r w:rsidRPr="00AB2B3B">
        <w:t>R</w:t>
      </w:r>
      <w:r w:rsidR="0032281C" w:rsidRPr="00AB2B3B">
        <w:t xml:space="preserve">ecent research has emphasized that this requires firms to develop </w:t>
      </w:r>
      <w:r w:rsidR="00101FF0" w:rsidRPr="00AB2B3B">
        <w:t xml:space="preserve">the ability to “orchestrate” their </w:t>
      </w:r>
      <w:r w:rsidR="0032281C" w:rsidRPr="00AB2B3B">
        <w:t>resource</w:t>
      </w:r>
      <w:r w:rsidR="00101FF0" w:rsidRPr="00AB2B3B">
        <w:t xml:space="preserve">s </w:t>
      </w:r>
      <w:r w:rsidR="00BB1691" w:rsidRPr="00AB2B3B">
        <w:t>(</w:t>
      </w:r>
      <w:bookmarkStart w:id="34" w:name="_Hlk89864092"/>
      <w:proofErr w:type="spellStart"/>
      <w:r w:rsidR="00BB1691" w:rsidRPr="00AB2B3B">
        <w:t>Pitelis</w:t>
      </w:r>
      <w:proofErr w:type="spellEnd"/>
      <w:r w:rsidR="00BB1691" w:rsidRPr="00AB2B3B">
        <w:t xml:space="preserve"> &amp; Teece, 2018; Sirmon </w:t>
      </w:r>
      <w:r w:rsidR="00101FF0" w:rsidRPr="00AB2B3B">
        <w:t>et al.</w:t>
      </w:r>
      <w:r w:rsidR="00BB1691" w:rsidRPr="00AB2B3B">
        <w:t>, 2011</w:t>
      </w:r>
      <w:bookmarkEnd w:id="34"/>
      <w:r w:rsidR="004B0ECE">
        <w:t>;</w:t>
      </w:r>
      <w:r w:rsidR="004B0ECE" w:rsidRPr="004B0ECE">
        <w:t xml:space="preserve"> </w:t>
      </w:r>
      <w:r w:rsidR="004B0ECE" w:rsidRPr="00AB2B3B">
        <w:t>Verbeke &amp; Kano, 2016</w:t>
      </w:r>
      <w:r w:rsidR="00BB1691" w:rsidRPr="00AB2B3B">
        <w:t>)</w:t>
      </w:r>
      <w:r w:rsidR="00101FF0" w:rsidRPr="00AB2B3B">
        <w:t xml:space="preserve">. </w:t>
      </w:r>
      <w:r w:rsidR="00AB2B3B">
        <w:lastRenderedPageBreak/>
        <w:t>While t</w:t>
      </w:r>
      <w:r w:rsidR="00101FF0" w:rsidRPr="001F74F5">
        <w:t xml:space="preserve">raditional conceptions focused on how </w:t>
      </w:r>
      <w:r w:rsidR="00AB2B3B">
        <w:t xml:space="preserve">existing </w:t>
      </w:r>
      <w:r w:rsidR="00101FF0" w:rsidRPr="001F74F5">
        <w:t xml:space="preserve">resources are </w:t>
      </w:r>
      <w:r w:rsidR="00AB2B3B">
        <w:t>used to create</w:t>
      </w:r>
      <w:r w:rsidR="00101FF0" w:rsidRPr="001F74F5">
        <w:t xml:space="preserve"> value for customers through the production of goods and services</w:t>
      </w:r>
      <w:r w:rsidR="00AB2B3B">
        <w:t>, research</w:t>
      </w:r>
      <w:r w:rsidR="00101FF0" w:rsidRPr="001F74F5">
        <w:t xml:space="preserve"> </w:t>
      </w:r>
      <w:bookmarkStart w:id="35" w:name="_Hlk89864098"/>
      <w:r w:rsidR="00101FF0" w:rsidRPr="001F74F5">
        <w:t xml:space="preserve">by Helfat and colleagues (2007) </w:t>
      </w:r>
      <w:bookmarkEnd w:id="35"/>
      <w:r w:rsidR="00101FF0" w:rsidRPr="001F74F5">
        <w:t>on asset orchestration and by Sirmon and colleagues (20</w:t>
      </w:r>
      <w:r w:rsidR="00AB2B3B">
        <w:t>11</w:t>
      </w:r>
      <w:r w:rsidR="00101FF0" w:rsidRPr="001F74F5">
        <w:t xml:space="preserve">) on resource management </w:t>
      </w:r>
      <w:r w:rsidR="00AB2B3B">
        <w:t>highlighted the importance of</w:t>
      </w:r>
      <w:r w:rsidR="00101FF0" w:rsidRPr="001F74F5">
        <w:t xml:space="preserve"> continually restructuring the inter-connectedness between a firm’s resources. Theories of d</w:t>
      </w:r>
      <w:r w:rsidR="00BB1691" w:rsidRPr="00AB2B3B">
        <w:t xml:space="preserve">ynamic capabilities, which build on resource-based theory </w:t>
      </w:r>
      <w:r w:rsidR="00101FF0" w:rsidRPr="00AB2B3B">
        <w:t>and</w:t>
      </w:r>
      <w:r w:rsidR="00BB1691" w:rsidRPr="00AB2B3B">
        <w:t xml:space="preserve"> emphasize the processes of resource </w:t>
      </w:r>
      <w:r w:rsidR="00BB1691" w:rsidRPr="001F74F5">
        <w:t>reconfiguration and renewal (</w:t>
      </w:r>
      <w:r w:rsidR="00596B2D" w:rsidRPr="001F74F5">
        <w:t>Helfat et al., 2007;</w:t>
      </w:r>
      <w:r w:rsidR="00BB1691" w:rsidRPr="001F74F5">
        <w:t xml:space="preserve"> Teece, 2007</w:t>
      </w:r>
      <w:r w:rsidR="009675EB" w:rsidRPr="001F74F5">
        <w:t>, 2014</w:t>
      </w:r>
      <w:r w:rsidR="00BB1691" w:rsidRPr="001F74F5">
        <w:t>)</w:t>
      </w:r>
      <w:r w:rsidR="00101FF0" w:rsidRPr="001F74F5">
        <w:t>, further underscored the importance of continual</w:t>
      </w:r>
      <w:r w:rsidR="00101FF0">
        <w:t xml:space="preserve"> orchestration of resources. Digitalization, as we shall see, takes resource orchestration to an entirely new level. </w:t>
      </w:r>
    </w:p>
    <w:p w14:paraId="25078253" w14:textId="083E237C" w:rsidR="0065441D" w:rsidRDefault="0065441D" w:rsidP="0065441D">
      <w:pPr>
        <w:pStyle w:val="Heading2"/>
        <w:jc w:val="both"/>
      </w:pPr>
      <w:r>
        <w:t>Digital</w:t>
      </w:r>
      <w:r w:rsidR="009675EB">
        <w:t xml:space="preserve"> resources</w:t>
      </w:r>
      <w:r>
        <w:t xml:space="preserve"> and </w:t>
      </w:r>
      <w:r w:rsidR="009675EB">
        <w:t>new venture i</w:t>
      </w:r>
      <w:r>
        <w:t>nternationalization</w:t>
      </w:r>
    </w:p>
    <w:p w14:paraId="58DFC356" w14:textId="0A8F8A1D" w:rsidR="00106AAE" w:rsidRDefault="00FB3191" w:rsidP="00AB2B3B">
      <w:pPr>
        <w:spacing w:line="480" w:lineRule="auto"/>
        <w:ind w:firstLine="720"/>
        <w:jc w:val="both"/>
      </w:pPr>
      <w:r>
        <w:t>Due to the challenges associated with leveraging resources in foreign markets, international expansion has traditionally been considered risky and time-consuming</w:t>
      </w:r>
      <w:r w:rsidR="0065441D">
        <w:t xml:space="preserve"> (</w:t>
      </w:r>
      <w:r w:rsidR="0065441D">
        <w:rPr>
          <w:color w:val="000000" w:themeColor="text1"/>
        </w:rPr>
        <w:t>Johanson &amp; Vahlne, 1977</w:t>
      </w:r>
      <w:r w:rsidR="0065441D">
        <w:t>), especially for new and small ventures (</w:t>
      </w:r>
      <w:bookmarkStart w:id="36" w:name="_Hlk89864128"/>
      <w:r w:rsidR="0065441D">
        <w:t>Carpenter et al., 2003;</w:t>
      </w:r>
      <w:r w:rsidR="0065441D" w:rsidRPr="00B12A9C">
        <w:t xml:space="preserve"> </w:t>
      </w:r>
      <w:r w:rsidR="00846560">
        <w:t>Hunt, Song, Townsend &amp; Stallkamp, 2021</w:t>
      </w:r>
      <w:bookmarkEnd w:id="36"/>
      <w:r w:rsidR="0065441D">
        <w:t xml:space="preserve">). </w:t>
      </w:r>
      <w:r w:rsidR="00142735">
        <w:t>As</w:t>
      </w:r>
      <w:r w:rsidR="0065441D">
        <w:t xml:space="preserve"> </w:t>
      </w:r>
      <w:r w:rsidR="00142735">
        <w:t xml:space="preserve">transportation costs fell, trade was liberalized, and </w:t>
      </w:r>
      <w:r w:rsidR="0065441D">
        <w:t>improvements in information and communication technolog</w:t>
      </w:r>
      <w:r w:rsidR="00AB2B3B">
        <w:t>y</w:t>
      </w:r>
      <w:r w:rsidR="00142735">
        <w:t xml:space="preserve"> </w:t>
      </w:r>
      <w:r w:rsidR="0065441D">
        <w:t>gradually eroded barriers to cross-border information flows</w:t>
      </w:r>
      <w:r w:rsidR="00142735">
        <w:t>, some new ventures began to internationalize earlier and faster, leading to burgeoning research on “International New Ventures” and “Born Global” firms (</w:t>
      </w:r>
      <w:bookmarkStart w:id="37" w:name="_Hlk89864134"/>
      <w:r w:rsidR="00990A9D">
        <w:t xml:space="preserve">Crick &amp; Crick, 2014; </w:t>
      </w:r>
      <w:r w:rsidR="00964A0F">
        <w:t>Knight &amp; Cavusgil, 2004; Oviatt &amp; McDougall, 1994; Zahra et al., 2000</w:t>
      </w:r>
      <w:bookmarkEnd w:id="37"/>
      <w:r w:rsidR="00142735">
        <w:t>)</w:t>
      </w:r>
      <w:r w:rsidR="00964A0F">
        <w:t>. Nevertheless, many of the fundamental challenges of foreign market entry remained (</w:t>
      </w:r>
      <w:bookmarkStart w:id="38" w:name="_Hlk89864144"/>
      <w:proofErr w:type="spellStart"/>
      <w:r w:rsidR="00AA62DA">
        <w:rPr>
          <w:rFonts w:eastAsiaTheme="minorHAnsi"/>
          <w:color w:val="000000" w:themeColor="text1"/>
          <w:szCs w:val="22"/>
        </w:rPr>
        <w:t>Cahen</w:t>
      </w:r>
      <w:proofErr w:type="spellEnd"/>
      <w:r w:rsidR="00AA62DA">
        <w:rPr>
          <w:rFonts w:eastAsiaTheme="minorHAnsi"/>
          <w:color w:val="000000" w:themeColor="text1"/>
          <w:szCs w:val="22"/>
        </w:rPr>
        <w:t xml:space="preserve">, Lahiri &amp; </w:t>
      </w:r>
      <w:proofErr w:type="spellStart"/>
      <w:r w:rsidR="00AA62DA">
        <w:rPr>
          <w:rFonts w:eastAsiaTheme="minorHAnsi"/>
          <w:color w:val="000000" w:themeColor="text1"/>
          <w:szCs w:val="22"/>
        </w:rPr>
        <w:t>Borini</w:t>
      </w:r>
      <w:proofErr w:type="spellEnd"/>
      <w:r w:rsidR="00AA62DA">
        <w:rPr>
          <w:rFonts w:eastAsiaTheme="minorHAnsi"/>
          <w:color w:val="000000" w:themeColor="text1"/>
          <w:szCs w:val="22"/>
        </w:rPr>
        <w:t xml:space="preserve">, 2016; </w:t>
      </w:r>
      <w:r w:rsidR="00AA62DA" w:rsidRPr="002E3573">
        <w:rPr>
          <w:rFonts w:eastAsiaTheme="minorHAnsi"/>
          <w:color w:val="000000" w:themeColor="text1"/>
          <w:szCs w:val="22"/>
        </w:rPr>
        <w:t>Pedersen &amp; Shaver, 2011</w:t>
      </w:r>
      <w:bookmarkEnd w:id="38"/>
      <w:r w:rsidR="00964A0F">
        <w:t xml:space="preserve">), and </w:t>
      </w:r>
      <w:r w:rsidR="00106AAE">
        <w:t xml:space="preserve">subsequent </w:t>
      </w:r>
      <w:r w:rsidR="00AA62DA">
        <w:t>studies have</w:t>
      </w:r>
      <w:r w:rsidR="00106AAE">
        <w:t xml:space="preserve"> argued that </w:t>
      </w:r>
      <w:r w:rsidR="00AA62DA">
        <w:t xml:space="preserve">the internationalization of </w:t>
      </w:r>
      <w:r w:rsidR="001F5F59">
        <w:t>many</w:t>
      </w:r>
      <w:r w:rsidR="00106AAE">
        <w:t xml:space="preserve"> “Born Global” </w:t>
      </w:r>
      <w:r w:rsidR="00AA62DA">
        <w:t>firms remained narrow and shallow (</w:t>
      </w:r>
      <w:bookmarkStart w:id="39" w:name="_Hlk89864153"/>
      <w:r w:rsidR="00AA62DA">
        <w:t>Lopez, Kundu &amp; Ciravegna, 2009; Verbeke, Coeurderoy &amp; Matt, 2018</w:t>
      </w:r>
      <w:bookmarkEnd w:id="39"/>
      <w:r w:rsidR="00AA62DA">
        <w:t>).</w:t>
      </w:r>
    </w:p>
    <w:bookmarkEnd w:id="24"/>
    <w:bookmarkEnd w:id="25"/>
    <w:p w14:paraId="557D571F" w14:textId="602FB5BE" w:rsidR="0065441D" w:rsidRDefault="00964A0F" w:rsidP="00265A4F">
      <w:pPr>
        <w:spacing w:line="480" w:lineRule="auto"/>
        <w:ind w:firstLine="720"/>
        <w:jc w:val="both"/>
        <w:rPr>
          <w:lang w:val="en-CA"/>
        </w:rPr>
      </w:pPr>
      <w:r>
        <w:t>However</w:t>
      </w:r>
      <w:r w:rsidR="0065441D">
        <w:t>, a new wave of digital technologies</w:t>
      </w:r>
      <w:r w:rsidR="00AC585D">
        <w:t>—</w:t>
      </w:r>
      <w:r w:rsidR="0065441D">
        <w:t>ranging from smartphones to artificial intelligence</w:t>
      </w:r>
      <w:r w:rsidR="00AC585D">
        <w:t>—</w:t>
      </w:r>
      <w:r w:rsidR="0065441D">
        <w:t xml:space="preserve">appear to have fundamentally altered the nature of product development, product </w:t>
      </w:r>
      <w:r w:rsidR="0065441D">
        <w:lastRenderedPageBreak/>
        <w:t xml:space="preserve">delivery, and </w:t>
      </w:r>
      <w:r w:rsidR="00AC585D">
        <w:t xml:space="preserve">foreign </w:t>
      </w:r>
      <w:r w:rsidR="0065441D">
        <w:t>market entry (</w:t>
      </w:r>
      <w:r w:rsidR="00945397">
        <w:t>Adner et al., 2019;</w:t>
      </w:r>
      <w:r w:rsidR="002C230B">
        <w:t xml:space="preserve"> Chalmers et al., 2020; Jafari-Sadeghi, Garcia-Perez, Candelo &amp; Couturier, 2021</w:t>
      </w:r>
      <w:r w:rsidR="00D2077B">
        <w:t xml:space="preserve">; </w:t>
      </w:r>
      <w:r w:rsidR="0065441D">
        <w:t xml:space="preserve">Nambisan, 2017). The widespread adoption of </w:t>
      </w:r>
      <w:r w:rsidR="00FA232C">
        <w:t>digital</w:t>
      </w:r>
      <w:r w:rsidR="0065441D">
        <w:t xml:space="preserve"> technologies</w:t>
      </w:r>
      <w:r w:rsidR="008011C6">
        <w:t xml:space="preserve"> </w:t>
      </w:r>
      <w:r w:rsidR="0065441D">
        <w:rPr>
          <w:lang w:val="en-CA"/>
        </w:rPr>
        <w:t>has led to a proliferation of so-called</w:t>
      </w:r>
      <w:r w:rsidR="0065441D">
        <w:rPr>
          <w:iCs/>
          <w:lang w:val="en-CA"/>
        </w:rPr>
        <w:t xml:space="preserve"> </w:t>
      </w:r>
      <w:r w:rsidR="0065441D" w:rsidRPr="008011C6">
        <w:rPr>
          <w:i/>
          <w:lang w:val="en-CA"/>
        </w:rPr>
        <w:t>digital ventures</w:t>
      </w:r>
      <w:r w:rsidR="0065441D">
        <w:rPr>
          <w:iCs/>
          <w:lang w:val="en-CA"/>
        </w:rPr>
        <w:t xml:space="preserve"> (or digital firms), which </w:t>
      </w:r>
      <w:r w:rsidR="008011C6">
        <w:rPr>
          <w:iCs/>
          <w:lang w:val="en-CA"/>
        </w:rPr>
        <w:t>prior work has</w:t>
      </w:r>
      <w:r w:rsidR="0065441D">
        <w:rPr>
          <w:iCs/>
          <w:lang w:val="en-CA"/>
        </w:rPr>
        <w:t xml:space="preserve"> defined as</w:t>
      </w:r>
      <w:r w:rsidR="0065441D">
        <w:rPr>
          <w:lang w:val="en-CA"/>
        </w:rPr>
        <w:t xml:space="preserve"> ventures formed around fully digital products</w:t>
      </w:r>
      <w:r w:rsidR="00FA232C">
        <w:rPr>
          <w:lang w:val="en-CA"/>
        </w:rPr>
        <w:t xml:space="preserve"> – such as software, mobile apps, and digital platform services –</w:t>
      </w:r>
      <w:r w:rsidR="0065441D">
        <w:rPr>
          <w:lang w:val="en-CA"/>
        </w:rPr>
        <w:t xml:space="preserve"> </w:t>
      </w:r>
      <w:r w:rsidR="0065441D">
        <w:rPr>
          <w:iCs/>
          <w:lang w:val="en-CA"/>
        </w:rPr>
        <w:t xml:space="preserve">that can be distributed </w:t>
      </w:r>
      <w:r w:rsidR="00FA232C">
        <w:rPr>
          <w:iCs/>
          <w:lang w:val="en-CA"/>
        </w:rPr>
        <w:t xml:space="preserve">entirely through digital channels </w:t>
      </w:r>
      <w:r w:rsidR="0065441D">
        <w:rPr>
          <w:iCs/>
          <w:lang w:val="en-CA"/>
        </w:rPr>
        <w:t xml:space="preserve">(Coviello et al., 2017; Huang et al., 2017; Monaghan et al., 2019; </w:t>
      </w:r>
      <w:bookmarkStart w:id="40" w:name="_Hlk89864171"/>
      <w:proofErr w:type="spellStart"/>
      <w:r w:rsidR="0065441D">
        <w:rPr>
          <w:iCs/>
          <w:lang w:val="en-CA"/>
        </w:rPr>
        <w:t>Shaheer</w:t>
      </w:r>
      <w:proofErr w:type="spellEnd"/>
      <w:r w:rsidR="0065441D">
        <w:rPr>
          <w:iCs/>
          <w:lang w:val="en-CA"/>
        </w:rPr>
        <w:t xml:space="preserve">, 2019; </w:t>
      </w:r>
      <w:proofErr w:type="spellStart"/>
      <w:r w:rsidR="004F1D97" w:rsidRPr="004F1D97">
        <w:rPr>
          <w:iCs/>
          <w:lang w:val="en-CA"/>
        </w:rPr>
        <w:t>Miric</w:t>
      </w:r>
      <w:proofErr w:type="spellEnd"/>
      <w:r w:rsidR="004F1D97" w:rsidRPr="004F1D97">
        <w:rPr>
          <w:iCs/>
          <w:lang w:val="en-CA"/>
        </w:rPr>
        <w:t xml:space="preserve">, M., Pagani, M., &amp; El </w:t>
      </w:r>
      <w:proofErr w:type="spellStart"/>
      <w:r w:rsidR="004F1D97" w:rsidRPr="004F1D97">
        <w:rPr>
          <w:iCs/>
          <w:lang w:val="en-CA"/>
        </w:rPr>
        <w:t>Sawy</w:t>
      </w:r>
      <w:proofErr w:type="spellEnd"/>
      <w:r w:rsidR="0065441D">
        <w:rPr>
          <w:iCs/>
          <w:lang w:val="en-CA"/>
        </w:rPr>
        <w:t>, 2021</w:t>
      </w:r>
      <w:bookmarkEnd w:id="40"/>
      <w:r w:rsidR="0065441D">
        <w:rPr>
          <w:iCs/>
          <w:lang w:val="en-CA"/>
        </w:rPr>
        <w:t xml:space="preserve">). </w:t>
      </w:r>
      <w:r w:rsidR="00361E63">
        <w:rPr>
          <w:lang w:val="en-CA"/>
        </w:rPr>
        <w:t xml:space="preserve">Digital ventures </w:t>
      </w:r>
      <w:r w:rsidR="00FE314E">
        <w:rPr>
          <w:lang w:val="en-CA"/>
        </w:rPr>
        <w:t xml:space="preserve">are uniquely positioned to leverage their technological resources in foreign markets </w:t>
      </w:r>
      <w:r w:rsidR="00945397">
        <w:rPr>
          <w:lang w:val="en-CA"/>
        </w:rPr>
        <w:t>because</w:t>
      </w:r>
      <w:r w:rsidR="0065441D" w:rsidRPr="003E76BE">
        <w:rPr>
          <w:lang w:val="en-CA"/>
        </w:rPr>
        <w:t xml:space="preserve"> the intangible nature of their products </w:t>
      </w:r>
      <w:r w:rsidR="0066667F">
        <w:rPr>
          <w:lang w:val="en-CA"/>
        </w:rPr>
        <w:t xml:space="preserve">allows them </w:t>
      </w:r>
      <w:r w:rsidR="0065441D" w:rsidRPr="003E76BE">
        <w:rPr>
          <w:lang w:val="en-CA"/>
        </w:rPr>
        <w:t xml:space="preserve">to </w:t>
      </w:r>
      <w:r w:rsidR="0066667F" w:rsidRPr="003E76BE">
        <w:rPr>
          <w:lang w:val="en-CA"/>
        </w:rPr>
        <w:t>serv</w:t>
      </w:r>
      <w:r w:rsidR="0066667F">
        <w:rPr>
          <w:lang w:val="en-CA"/>
        </w:rPr>
        <w:t>e</w:t>
      </w:r>
      <w:r w:rsidR="0066667F" w:rsidRPr="003E76BE">
        <w:rPr>
          <w:lang w:val="en-CA"/>
        </w:rPr>
        <w:t xml:space="preserve"> </w:t>
      </w:r>
      <w:r w:rsidR="0065441D" w:rsidRPr="003E76BE">
        <w:rPr>
          <w:lang w:val="en-CA"/>
        </w:rPr>
        <w:t>customers via the internet</w:t>
      </w:r>
      <w:r w:rsidR="00265A4F">
        <w:rPr>
          <w:lang w:val="en-CA"/>
        </w:rPr>
        <w:t>,</w:t>
      </w:r>
      <w:r w:rsidR="0065441D" w:rsidRPr="003E76BE">
        <w:rPr>
          <w:lang w:val="en-CA"/>
        </w:rPr>
        <w:t xml:space="preserve"> </w:t>
      </w:r>
      <w:r w:rsidR="00091B2E">
        <w:rPr>
          <w:lang w:val="en-CA"/>
        </w:rPr>
        <w:t xml:space="preserve">potentially without any physical interaction </w:t>
      </w:r>
      <w:r w:rsidR="0065441D" w:rsidRPr="003E76BE">
        <w:rPr>
          <w:lang w:val="en-CA"/>
        </w:rPr>
        <w:t>(</w:t>
      </w:r>
      <w:proofErr w:type="spellStart"/>
      <w:r w:rsidR="0065441D" w:rsidRPr="003E76BE">
        <w:rPr>
          <w:lang w:val="en-CA"/>
        </w:rPr>
        <w:t>Shaheer</w:t>
      </w:r>
      <w:proofErr w:type="spellEnd"/>
      <w:r w:rsidR="0065441D" w:rsidRPr="003E76BE">
        <w:rPr>
          <w:lang w:val="en-CA"/>
        </w:rPr>
        <w:t xml:space="preserve"> </w:t>
      </w:r>
      <w:r w:rsidR="00945397">
        <w:rPr>
          <w:lang w:val="en-CA"/>
        </w:rPr>
        <w:t>&amp; Li</w:t>
      </w:r>
      <w:r w:rsidR="0065441D" w:rsidRPr="003E76BE">
        <w:rPr>
          <w:lang w:val="en-CA"/>
        </w:rPr>
        <w:t>, 2020)</w:t>
      </w:r>
      <w:r w:rsidR="0065441D">
        <w:rPr>
          <w:lang w:val="en-CA"/>
        </w:rPr>
        <w:t xml:space="preserve">. </w:t>
      </w:r>
      <w:r w:rsidR="00265A4F">
        <w:rPr>
          <w:lang w:val="en-CA"/>
        </w:rPr>
        <w:t xml:space="preserve">Whereas traditional, pre-digital companies were compelled to divert scarce resources to build overseas production facilities and distributor networks, </w:t>
      </w:r>
      <w:r w:rsidR="0065441D">
        <w:rPr>
          <w:lang w:val="en-CA"/>
        </w:rPr>
        <w:t>digital firms can tap into an existing</w:t>
      </w:r>
      <w:r w:rsidR="00361E63">
        <w:rPr>
          <w:lang w:val="en-CA"/>
        </w:rPr>
        <w:t xml:space="preserve"> </w:t>
      </w:r>
      <w:r w:rsidR="0065441D">
        <w:rPr>
          <w:lang w:val="en-CA"/>
        </w:rPr>
        <w:t>internet</w:t>
      </w:r>
      <w:r w:rsidR="00265A4F">
        <w:rPr>
          <w:lang w:val="en-CA"/>
        </w:rPr>
        <w:t>-based</w:t>
      </w:r>
      <w:r w:rsidR="0065441D">
        <w:rPr>
          <w:lang w:val="en-CA"/>
        </w:rPr>
        <w:t xml:space="preserve"> distribution infrastructure, consisting of common hardware and software standards, operating systems, app stores, and on-demand computing power (</w:t>
      </w:r>
      <w:r w:rsidR="00F92747">
        <w:rPr>
          <w:lang w:val="en-CA"/>
        </w:rPr>
        <w:t xml:space="preserve">Autio et al., 2021; </w:t>
      </w:r>
      <w:r w:rsidR="0065441D">
        <w:rPr>
          <w:lang w:val="en-CA"/>
        </w:rPr>
        <w:t>Nambisan, 2017). This promises to greatly reduce the cost and difficulty of foreign market entry (</w:t>
      </w:r>
      <w:r w:rsidR="006E5776">
        <w:rPr>
          <w:lang w:val="en-CA"/>
        </w:rPr>
        <w:t xml:space="preserve">Autio et al., 2021; </w:t>
      </w:r>
      <w:r w:rsidR="00080404">
        <w:rPr>
          <w:lang w:val="en-CA"/>
        </w:rPr>
        <w:t>Jafari-Sadeghi</w:t>
      </w:r>
      <w:r w:rsidR="0014545D">
        <w:rPr>
          <w:lang w:val="en-CA"/>
        </w:rPr>
        <w:t xml:space="preserve">, </w:t>
      </w:r>
      <w:proofErr w:type="spellStart"/>
      <w:r w:rsidR="0014545D">
        <w:rPr>
          <w:lang w:val="en-CA"/>
        </w:rPr>
        <w:t>Mahdiraji</w:t>
      </w:r>
      <w:proofErr w:type="spellEnd"/>
      <w:r w:rsidR="0014545D">
        <w:rPr>
          <w:lang w:val="en-CA"/>
        </w:rPr>
        <w:t xml:space="preserve">, </w:t>
      </w:r>
      <w:proofErr w:type="spellStart"/>
      <w:r w:rsidR="0014545D">
        <w:rPr>
          <w:lang w:val="en-CA"/>
        </w:rPr>
        <w:t>Busso</w:t>
      </w:r>
      <w:proofErr w:type="spellEnd"/>
      <w:r w:rsidR="0014545D">
        <w:rPr>
          <w:lang w:val="en-CA"/>
        </w:rPr>
        <w:t xml:space="preserve"> &amp; </w:t>
      </w:r>
      <w:proofErr w:type="spellStart"/>
      <w:r w:rsidR="0014545D">
        <w:rPr>
          <w:lang w:val="en-CA"/>
        </w:rPr>
        <w:t>Yahiaoui</w:t>
      </w:r>
      <w:proofErr w:type="spellEnd"/>
      <w:r w:rsidR="00080404">
        <w:rPr>
          <w:lang w:val="en-CA"/>
        </w:rPr>
        <w:t xml:space="preserve">, 2022; </w:t>
      </w:r>
      <w:r w:rsidR="0065441D">
        <w:rPr>
          <w:lang w:val="en-CA"/>
        </w:rPr>
        <w:t>Monaghan et al., 2019), while practically eliminating transportation costs and delivery times as barrier</w:t>
      </w:r>
      <w:r w:rsidR="00A46484">
        <w:rPr>
          <w:lang w:val="en-CA"/>
        </w:rPr>
        <w:t>s</w:t>
      </w:r>
      <w:r w:rsidR="0065441D">
        <w:rPr>
          <w:lang w:val="en-CA"/>
        </w:rPr>
        <w:t xml:space="preserve"> to foreign markets</w:t>
      </w:r>
      <w:r w:rsidR="0065441D" w:rsidRPr="006674F9">
        <w:rPr>
          <w:lang w:val="en-CA"/>
        </w:rPr>
        <w:t>.</w:t>
      </w:r>
      <w:r w:rsidR="0065441D">
        <w:rPr>
          <w:lang w:val="en-CA"/>
        </w:rPr>
        <w:t xml:space="preserve"> </w:t>
      </w:r>
    </w:p>
    <w:p w14:paraId="4484148E" w14:textId="342E4C12" w:rsidR="0065441D" w:rsidRDefault="0065441D" w:rsidP="0065441D">
      <w:pPr>
        <w:spacing w:line="480" w:lineRule="auto"/>
        <w:ind w:firstLine="720"/>
        <w:jc w:val="both"/>
      </w:pPr>
      <w:r w:rsidRPr="00C7368C">
        <w:rPr>
          <w:lang w:val="en-CA"/>
        </w:rPr>
        <w:t xml:space="preserve">Further, </w:t>
      </w:r>
      <w:r w:rsidR="00FE314E">
        <w:t xml:space="preserve">product offerings based on </w:t>
      </w:r>
      <w:r w:rsidRPr="00C7368C">
        <w:t xml:space="preserve">digital </w:t>
      </w:r>
      <w:r w:rsidR="00FE314E">
        <w:t>resources</w:t>
      </w:r>
      <w:r w:rsidRPr="00C7368C">
        <w:t xml:space="preserve"> </w:t>
      </w:r>
      <w:r>
        <w:t>are</w:t>
      </w:r>
      <w:r w:rsidR="00265A4F">
        <w:t xml:space="preserve">, </w:t>
      </w:r>
      <w:r w:rsidR="005C03A6">
        <w:t>at least in theory</w:t>
      </w:r>
      <w:r w:rsidR="00265A4F">
        <w:t xml:space="preserve">, </w:t>
      </w:r>
      <w:r w:rsidRPr="00C7368C">
        <w:t>instantaneously</w:t>
      </w:r>
      <w:r>
        <w:t xml:space="preserve"> reproducible to infinite scale (</w:t>
      </w:r>
      <w:r w:rsidRPr="00C7368C">
        <w:t>Bharadwaj et al., 2013</w:t>
      </w:r>
      <w:r w:rsidR="005C03A6">
        <w:t>; Huang et al., 2017</w:t>
      </w:r>
      <w:r>
        <w:t>)</w:t>
      </w:r>
      <w:r w:rsidRPr="00C7368C">
        <w:t xml:space="preserve">, </w:t>
      </w:r>
      <w:r>
        <w:t>at a marginal cost approach</w:t>
      </w:r>
      <w:r w:rsidR="005C03A6">
        <w:t>ing</w:t>
      </w:r>
      <w:r>
        <w:t xml:space="preserve"> zero </w:t>
      </w:r>
      <w:r w:rsidRPr="00C7368C">
        <w:t xml:space="preserve">(Adner et al., 2019; </w:t>
      </w:r>
      <w:bookmarkStart w:id="41" w:name="_Hlk89864184"/>
      <w:r w:rsidRPr="00C7368C">
        <w:t>Shapiro &amp; Varian, 1999</w:t>
      </w:r>
      <w:bookmarkEnd w:id="41"/>
      <w:r w:rsidRPr="00C7368C">
        <w:t xml:space="preserve">). </w:t>
      </w:r>
      <w:r w:rsidR="00964A0F">
        <w:t>As a result, digital ventures</w:t>
      </w:r>
      <w:r w:rsidRPr="00C7368C">
        <w:t xml:space="preserve"> can accommodate extremely rapid </w:t>
      </w:r>
      <w:r w:rsidR="004773A6">
        <w:t xml:space="preserve">user </w:t>
      </w:r>
      <w:r w:rsidRPr="00C7368C">
        <w:t>growth, domestic</w:t>
      </w:r>
      <w:r>
        <w:t>ally</w:t>
      </w:r>
      <w:r w:rsidRPr="00C7368C">
        <w:t xml:space="preserve"> or internationally. Crucially, the </w:t>
      </w:r>
      <w:r w:rsidR="004773A6">
        <w:t>“</w:t>
      </w:r>
      <w:r w:rsidRPr="00C7368C">
        <w:t>scale-free</w:t>
      </w:r>
      <w:r w:rsidR="004773A6">
        <w:t>”</w:t>
      </w:r>
      <w:r w:rsidRPr="00C7368C">
        <w:t xml:space="preserve"> nature of digital </w:t>
      </w:r>
      <w:r w:rsidR="00964A0F">
        <w:t>resources</w:t>
      </w:r>
      <w:r w:rsidR="00964A0F" w:rsidRPr="00C7368C">
        <w:t xml:space="preserve"> </w:t>
      </w:r>
      <w:r w:rsidR="004773A6">
        <w:t>(</w:t>
      </w:r>
      <w:bookmarkStart w:id="42" w:name="_Hlk89864189"/>
      <w:r w:rsidR="004773A6">
        <w:t>Levinthal &amp; Wu, 2010</w:t>
      </w:r>
      <w:bookmarkEnd w:id="42"/>
      <w:r w:rsidR="004773A6">
        <w:t xml:space="preserve">) </w:t>
      </w:r>
      <w:r w:rsidRPr="00C7368C">
        <w:t>allows digital ventures to expand their user base with very limited incremental investments, leading to high gross margins and substantial economies of scale (</w:t>
      </w:r>
      <w:r w:rsidR="0066667F">
        <w:t xml:space="preserve">Chalmers et al., 2021; </w:t>
      </w:r>
      <w:bookmarkStart w:id="43" w:name="_Hlk89864194"/>
      <w:r w:rsidRPr="00C7368C">
        <w:t>Reuber et al., 2014</w:t>
      </w:r>
      <w:bookmarkEnd w:id="43"/>
      <w:r w:rsidRPr="00C7368C">
        <w:t xml:space="preserve">). </w:t>
      </w:r>
    </w:p>
    <w:p w14:paraId="4C4F9D24" w14:textId="77777777" w:rsidR="00ED5CBC" w:rsidRDefault="00ED5CBC" w:rsidP="00CC4B18">
      <w:pPr>
        <w:pStyle w:val="Heading2"/>
      </w:pPr>
    </w:p>
    <w:p w14:paraId="1A1572B1" w14:textId="3685F688" w:rsidR="0065441D" w:rsidRPr="00E75C67" w:rsidRDefault="0065441D" w:rsidP="00CC4B18">
      <w:pPr>
        <w:pStyle w:val="Heading2"/>
      </w:pPr>
      <w:r w:rsidRPr="00E75C67">
        <w:t>Digital</w:t>
      </w:r>
      <w:r w:rsidR="000C0A44">
        <w:t xml:space="preserve"> </w:t>
      </w:r>
      <w:r w:rsidR="00101FF0">
        <w:t>R</w:t>
      </w:r>
      <w:r w:rsidR="000C0A44">
        <w:t xml:space="preserve">esources and </w:t>
      </w:r>
      <w:r w:rsidRPr="00E75C67">
        <w:t>Scalability</w:t>
      </w:r>
      <w:r w:rsidR="00752460">
        <w:t xml:space="preserve"> Constraints</w:t>
      </w:r>
    </w:p>
    <w:p w14:paraId="495118EC" w14:textId="3741C8EA" w:rsidR="00E50137" w:rsidRDefault="0065441D" w:rsidP="0065441D">
      <w:pPr>
        <w:spacing w:line="480" w:lineRule="auto"/>
        <w:ind w:firstLine="720"/>
        <w:jc w:val="both"/>
      </w:pPr>
      <w:r>
        <w:rPr>
          <w:lang w:val="en-CA"/>
        </w:rPr>
        <w:t xml:space="preserve">Scholars have </w:t>
      </w:r>
      <w:r w:rsidR="002D219A">
        <w:rPr>
          <w:color w:val="000000" w:themeColor="text1"/>
          <w:lang w:val="en-CA"/>
        </w:rPr>
        <w:t>highlighted</w:t>
      </w:r>
      <w:r w:rsidR="002D219A" w:rsidRPr="003E76BE">
        <w:rPr>
          <w:color w:val="000000" w:themeColor="text1"/>
          <w:lang w:val="en-CA"/>
        </w:rPr>
        <w:t xml:space="preserve"> </w:t>
      </w:r>
      <w:r w:rsidRPr="003E76BE">
        <w:rPr>
          <w:color w:val="000000" w:themeColor="text1"/>
          <w:lang w:val="en-CA"/>
        </w:rPr>
        <w:t xml:space="preserve">the </w:t>
      </w:r>
      <w:r w:rsidRPr="00796DC7">
        <w:rPr>
          <w:color w:val="000000" w:themeColor="text1"/>
          <w:lang w:val="en-CA"/>
        </w:rPr>
        <w:t>enabling</w:t>
      </w:r>
      <w:r w:rsidRPr="003E76BE">
        <w:rPr>
          <w:color w:val="000000" w:themeColor="text1"/>
          <w:lang w:val="en-CA"/>
        </w:rPr>
        <w:t xml:space="preserve"> effects</w:t>
      </w:r>
      <w:r w:rsidR="00796DC7">
        <w:rPr>
          <w:color w:val="000000" w:themeColor="text1"/>
          <w:lang w:val="en-CA"/>
        </w:rPr>
        <w:t xml:space="preserve"> </w:t>
      </w:r>
      <w:r w:rsidR="00082DA0">
        <w:rPr>
          <w:color w:val="000000" w:themeColor="text1"/>
          <w:lang w:val="en-CA"/>
        </w:rPr>
        <w:t xml:space="preserve">of digital technologies </w:t>
      </w:r>
      <w:r w:rsidR="00796DC7">
        <w:rPr>
          <w:color w:val="000000" w:themeColor="text1"/>
          <w:lang w:val="en-CA"/>
        </w:rPr>
        <w:t>for</w:t>
      </w:r>
      <w:r>
        <w:rPr>
          <w:lang w:val="en-CA"/>
        </w:rPr>
        <w:t xml:space="preserve"> early, rapid, and extensive internationalization (Autio &amp; Zander, 2016; </w:t>
      </w:r>
      <w:proofErr w:type="spellStart"/>
      <w:r>
        <w:rPr>
          <w:lang w:val="en-CA"/>
        </w:rPr>
        <w:t>Banalieva</w:t>
      </w:r>
      <w:proofErr w:type="spellEnd"/>
      <w:r>
        <w:rPr>
          <w:lang w:val="en-CA"/>
        </w:rPr>
        <w:t xml:space="preserve"> &amp; </w:t>
      </w:r>
      <w:proofErr w:type="spellStart"/>
      <w:r>
        <w:rPr>
          <w:lang w:val="en-CA"/>
        </w:rPr>
        <w:t>Dhanaraj</w:t>
      </w:r>
      <w:proofErr w:type="spellEnd"/>
      <w:r>
        <w:rPr>
          <w:lang w:val="en-CA"/>
        </w:rPr>
        <w:t>, 2019; Coviello et al., 2017; Monaghan et al., 2019; Reuber et al., 2014). Some scholars have even suggested that internationalization may be the “natural condition” (</w:t>
      </w:r>
      <w:proofErr w:type="spellStart"/>
      <w:r>
        <w:rPr>
          <w:lang w:val="en-CA"/>
        </w:rPr>
        <w:t>Onetti</w:t>
      </w:r>
      <w:proofErr w:type="spellEnd"/>
      <w:r>
        <w:rPr>
          <w:lang w:val="en-CA"/>
        </w:rPr>
        <w:t xml:space="preserve"> et al., 2012: 358) for certain types of digital ventures, as the “</w:t>
      </w:r>
      <w:r w:rsidRPr="006674F9">
        <w:rPr>
          <w:lang w:val="en-CA"/>
        </w:rPr>
        <w:t xml:space="preserve">transaction environment </w:t>
      </w:r>
      <w:r>
        <w:rPr>
          <w:lang w:val="en-CA"/>
        </w:rPr>
        <w:t>[is]</w:t>
      </w:r>
      <w:r w:rsidRPr="006674F9">
        <w:rPr>
          <w:lang w:val="en-CA"/>
        </w:rPr>
        <w:t xml:space="preserve"> inherently global</w:t>
      </w:r>
      <w:r>
        <w:rPr>
          <w:lang w:val="en-CA"/>
        </w:rPr>
        <w:t>” (Autio, 2017: 222) and geographic boundaries are much less salient (</w:t>
      </w:r>
      <w:r w:rsidR="006B5437">
        <w:rPr>
          <w:lang w:val="en-CA"/>
        </w:rPr>
        <w:t xml:space="preserve">Autio et al., 2021; </w:t>
      </w:r>
      <w:r>
        <w:rPr>
          <w:lang w:val="en-CA"/>
        </w:rPr>
        <w:t>Nambisan, 2017).</w:t>
      </w:r>
      <w:r w:rsidRPr="002C476B">
        <w:t xml:space="preserve"> </w:t>
      </w:r>
    </w:p>
    <w:p w14:paraId="691E5444" w14:textId="71C58CC6" w:rsidR="00526E55" w:rsidRDefault="00753839" w:rsidP="0065441D">
      <w:pPr>
        <w:spacing w:line="480" w:lineRule="auto"/>
        <w:ind w:firstLine="720"/>
        <w:jc w:val="both"/>
        <w:rPr>
          <w:color w:val="000000" w:themeColor="text1"/>
          <w:lang w:val="en-CA"/>
        </w:rPr>
      </w:pPr>
      <w:r>
        <w:rPr>
          <w:color w:val="000000" w:themeColor="text1"/>
          <w:lang w:val="en-CA"/>
        </w:rPr>
        <w:t xml:space="preserve">Although </w:t>
      </w:r>
      <w:r w:rsidR="004F6F11">
        <w:rPr>
          <w:color w:val="000000" w:themeColor="text1"/>
          <w:lang w:val="en-CA"/>
        </w:rPr>
        <w:t>the dramatic impact of digital technologies is undeniable</w:t>
      </w:r>
      <w:r>
        <w:rPr>
          <w:color w:val="000000" w:themeColor="text1"/>
          <w:lang w:val="en-CA"/>
        </w:rPr>
        <w:t>,</w:t>
      </w:r>
      <w:r w:rsidR="004F6F11">
        <w:rPr>
          <w:color w:val="000000" w:themeColor="text1"/>
          <w:lang w:val="en-CA"/>
        </w:rPr>
        <w:t xml:space="preserve"> </w:t>
      </w:r>
      <w:r>
        <w:rPr>
          <w:color w:val="000000" w:themeColor="text1"/>
          <w:lang w:val="en-CA"/>
        </w:rPr>
        <w:t xml:space="preserve">it is becoming apparent that </w:t>
      </w:r>
      <w:r w:rsidR="004F6F11">
        <w:rPr>
          <w:color w:val="000000" w:themeColor="text1"/>
          <w:lang w:val="en-CA"/>
        </w:rPr>
        <w:t>they</w:t>
      </w:r>
      <w:r>
        <w:rPr>
          <w:color w:val="000000" w:themeColor="text1"/>
          <w:lang w:val="en-CA"/>
        </w:rPr>
        <w:t xml:space="preserve"> are not unqualified game-changers (</w:t>
      </w:r>
      <w:bookmarkStart w:id="44" w:name="_Hlk89864208"/>
      <w:r>
        <w:rPr>
          <w:color w:val="000000" w:themeColor="text1"/>
          <w:lang w:val="en-CA"/>
        </w:rPr>
        <w:t xml:space="preserve">Verbeke &amp; </w:t>
      </w:r>
      <w:proofErr w:type="spellStart"/>
      <w:r>
        <w:rPr>
          <w:color w:val="000000" w:themeColor="text1"/>
          <w:lang w:val="en-CA"/>
        </w:rPr>
        <w:t>Hutzschenreuter</w:t>
      </w:r>
      <w:proofErr w:type="spellEnd"/>
      <w:r>
        <w:rPr>
          <w:color w:val="000000" w:themeColor="text1"/>
          <w:lang w:val="en-CA"/>
        </w:rPr>
        <w:t>, 202</w:t>
      </w:r>
      <w:bookmarkEnd w:id="44"/>
      <w:r w:rsidR="006E6E46">
        <w:rPr>
          <w:color w:val="000000" w:themeColor="text1"/>
          <w:lang w:val="en-CA"/>
        </w:rPr>
        <w:t>1</w:t>
      </w:r>
      <w:r>
        <w:rPr>
          <w:color w:val="000000" w:themeColor="text1"/>
          <w:lang w:val="en-CA"/>
        </w:rPr>
        <w:t xml:space="preserve">). </w:t>
      </w:r>
      <w:r w:rsidR="001F5F59">
        <w:rPr>
          <w:color w:val="000000" w:themeColor="text1"/>
          <w:lang w:val="en-CA"/>
        </w:rPr>
        <w:t>A</w:t>
      </w:r>
      <w:r w:rsidR="0065441D">
        <w:rPr>
          <w:color w:val="000000" w:themeColor="text1"/>
          <w:lang w:val="en-CA"/>
        </w:rPr>
        <w:t xml:space="preserve"> host of </w:t>
      </w:r>
      <w:r w:rsidR="0065441D" w:rsidRPr="003E76BE">
        <w:rPr>
          <w:color w:val="000000" w:themeColor="text1"/>
          <w:lang w:val="en-CA"/>
        </w:rPr>
        <w:t>non-technical factors limit the ability of many digital ventures to exploit the</w:t>
      </w:r>
      <w:r w:rsidR="000C0A44">
        <w:rPr>
          <w:color w:val="000000" w:themeColor="text1"/>
          <w:lang w:val="en-CA"/>
        </w:rPr>
        <w:t>ir digital resources globally</w:t>
      </w:r>
      <w:r w:rsidR="0065441D" w:rsidRPr="003E76BE">
        <w:rPr>
          <w:color w:val="000000" w:themeColor="text1"/>
          <w:lang w:val="en-CA"/>
        </w:rPr>
        <w:t>. First, digital ventures face varying degrees of cross-border demand heterogeneity</w:t>
      </w:r>
      <w:r w:rsidR="00E50137">
        <w:rPr>
          <w:color w:val="000000" w:themeColor="text1"/>
          <w:lang w:val="en-CA"/>
        </w:rPr>
        <w:t>, as</w:t>
      </w:r>
      <w:r w:rsidR="0065441D" w:rsidRPr="003E76BE">
        <w:rPr>
          <w:color w:val="000000" w:themeColor="text1"/>
          <w:lang w:val="en-CA"/>
        </w:rPr>
        <w:t xml:space="preserve"> customer preferences vary across countries (</w:t>
      </w:r>
      <w:bookmarkStart w:id="45" w:name="_Hlk89864214"/>
      <w:r w:rsidR="0065441D" w:rsidRPr="003E76BE">
        <w:rPr>
          <w:color w:val="000000" w:themeColor="text1"/>
          <w:lang w:val="en-CA"/>
        </w:rPr>
        <w:t xml:space="preserve">Cavusgil, Zou &amp; Naidu, 1993; Schmid &amp; </w:t>
      </w:r>
      <w:proofErr w:type="spellStart"/>
      <w:r w:rsidR="0065441D" w:rsidRPr="003E76BE">
        <w:rPr>
          <w:color w:val="000000" w:themeColor="text1"/>
          <w:lang w:val="en-CA"/>
        </w:rPr>
        <w:t>Kotulla</w:t>
      </w:r>
      <w:proofErr w:type="spellEnd"/>
      <w:r w:rsidR="0065441D" w:rsidRPr="003E76BE">
        <w:rPr>
          <w:color w:val="000000" w:themeColor="text1"/>
          <w:lang w:val="en-CA"/>
        </w:rPr>
        <w:t>, 2011</w:t>
      </w:r>
      <w:bookmarkEnd w:id="45"/>
      <w:r w:rsidR="0065441D" w:rsidRPr="003E76BE">
        <w:rPr>
          <w:color w:val="000000" w:themeColor="text1"/>
          <w:lang w:val="en-CA"/>
        </w:rPr>
        <w:t>)</w:t>
      </w:r>
      <w:r w:rsidR="00E50137">
        <w:rPr>
          <w:color w:val="000000" w:themeColor="text1"/>
          <w:lang w:val="en-CA"/>
        </w:rPr>
        <w:t>. This can</w:t>
      </w:r>
      <w:r w:rsidR="006B5437" w:rsidRPr="000C0A44">
        <w:rPr>
          <w:color w:val="000000" w:themeColor="text1"/>
          <w:lang w:val="en-CA"/>
        </w:rPr>
        <w:t xml:space="preserve"> thwart </w:t>
      </w:r>
      <w:r w:rsidR="0065441D" w:rsidRPr="000C0A44">
        <w:rPr>
          <w:color w:val="000000" w:themeColor="text1"/>
          <w:lang w:val="en-CA"/>
        </w:rPr>
        <w:t xml:space="preserve">digital ventures’ ability to leverage digital </w:t>
      </w:r>
      <w:r w:rsidR="00752460" w:rsidRPr="00146CFD">
        <w:rPr>
          <w:color w:val="000000" w:themeColor="text1"/>
          <w:lang w:val="en-CA"/>
        </w:rPr>
        <w:t>resources</w:t>
      </w:r>
      <w:r w:rsidR="00752460" w:rsidRPr="000C0A44">
        <w:rPr>
          <w:color w:val="000000" w:themeColor="text1"/>
          <w:lang w:val="en-CA"/>
        </w:rPr>
        <w:t xml:space="preserve"> </w:t>
      </w:r>
      <w:r w:rsidR="0065441D" w:rsidRPr="000C0A44">
        <w:rPr>
          <w:color w:val="000000" w:themeColor="text1"/>
          <w:lang w:val="en-CA"/>
        </w:rPr>
        <w:t>across multiple markets</w:t>
      </w:r>
      <w:r w:rsidR="006B5437" w:rsidRPr="000C0A44">
        <w:rPr>
          <w:color w:val="000000" w:themeColor="text1"/>
          <w:lang w:val="en-CA"/>
        </w:rPr>
        <w:t xml:space="preserve"> by</w:t>
      </w:r>
      <w:r w:rsidR="004F6F11" w:rsidRPr="000C0A44">
        <w:rPr>
          <w:color w:val="000000" w:themeColor="text1"/>
          <w:lang w:val="en-CA"/>
        </w:rPr>
        <w:t xml:space="preserve"> </w:t>
      </w:r>
      <w:r w:rsidR="0065441D" w:rsidRPr="000C0A44">
        <w:rPr>
          <w:color w:val="000000" w:themeColor="text1"/>
          <w:lang w:val="en-CA"/>
        </w:rPr>
        <w:t>requiring costly country-specific adaptations. Second</w:t>
      </w:r>
      <w:r w:rsidR="0065441D" w:rsidRPr="003E76BE">
        <w:rPr>
          <w:color w:val="000000" w:themeColor="text1"/>
          <w:lang w:val="en-CA"/>
        </w:rPr>
        <w:t xml:space="preserve">, even </w:t>
      </w:r>
      <w:r w:rsidR="0065441D">
        <w:rPr>
          <w:color w:val="000000" w:themeColor="text1"/>
          <w:lang w:val="en-CA"/>
        </w:rPr>
        <w:t>when</w:t>
      </w:r>
      <w:r w:rsidR="0065441D" w:rsidRPr="003E76BE">
        <w:rPr>
          <w:color w:val="000000" w:themeColor="text1"/>
          <w:lang w:val="en-CA"/>
        </w:rPr>
        <w:t xml:space="preserve"> digital assets </w:t>
      </w:r>
      <w:r w:rsidR="0065441D">
        <w:rPr>
          <w:color w:val="000000" w:themeColor="text1"/>
          <w:lang w:val="en-CA"/>
        </w:rPr>
        <w:t>create</w:t>
      </w:r>
      <w:r w:rsidR="0065441D" w:rsidRPr="003E76BE">
        <w:rPr>
          <w:color w:val="000000" w:themeColor="text1"/>
          <w:lang w:val="en-CA"/>
        </w:rPr>
        <w:t xml:space="preserve"> value across markets, </w:t>
      </w:r>
      <w:r w:rsidR="0065441D" w:rsidRPr="003E76BE">
        <w:rPr>
          <w:i/>
          <w:iCs/>
          <w:color w:val="000000" w:themeColor="text1"/>
          <w:lang w:val="en-CA"/>
        </w:rPr>
        <w:t>capturing</w:t>
      </w:r>
      <w:r w:rsidR="0065441D" w:rsidRPr="003E76BE">
        <w:rPr>
          <w:color w:val="000000" w:themeColor="text1"/>
          <w:lang w:val="en-CA"/>
        </w:rPr>
        <w:t xml:space="preserve"> value often depends on complementary resources (</w:t>
      </w:r>
      <w:bookmarkStart w:id="46" w:name="_Hlk89864225"/>
      <w:r w:rsidR="0065441D" w:rsidRPr="003E76BE">
        <w:rPr>
          <w:color w:val="000000" w:themeColor="text1"/>
          <w:lang w:val="en-CA"/>
        </w:rPr>
        <w:t>Teece, 1986, 2018</w:t>
      </w:r>
      <w:bookmarkEnd w:id="46"/>
      <w:r w:rsidR="0065441D" w:rsidRPr="003E76BE">
        <w:rPr>
          <w:color w:val="000000" w:themeColor="text1"/>
          <w:lang w:val="en-CA"/>
        </w:rPr>
        <w:t xml:space="preserve">; Verbeke &amp; </w:t>
      </w:r>
      <w:proofErr w:type="spellStart"/>
      <w:r w:rsidR="0065441D" w:rsidRPr="003E76BE">
        <w:rPr>
          <w:color w:val="000000" w:themeColor="text1"/>
          <w:lang w:val="en-CA"/>
        </w:rPr>
        <w:t>Hutzschenreuter</w:t>
      </w:r>
      <w:proofErr w:type="spellEnd"/>
      <w:r w:rsidR="0065441D" w:rsidRPr="003E76BE">
        <w:rPr>
          <w:color w:val="000000" w:themeColor="text1"/>
          <w:lang w:val="en-CA"/>
        </w:rPr>
        <w:t>, 202</w:t>
      </w:r>
      <w:r w:rsidR="006E6E46">
        <w:rPr>
          <w:color w:val="000000" w:themeColor="text1"/>
          <w:lang w:val="en-CA"/>
        </w:rPr>
        <w:t>1</w:t>
      </w:r>
      <w:r w:rsidR="0065441D" w:rsidRPr="003E76BE">
        <w:rPr>
          <w:color w:val="000000" w:themeColor="text1"/>
          <w:lang w:val="en-CA"/>
        </w:rPr>
        <w:t>). When these complementary resources are not fully digital (e.g.</w:t>
      </w:r>
      <w:r w:rsidR="004F6F11">
        <w:rPr>
          <w:color w:val="000000" w:themeColor="text1"/>
          <w:lang w:val="en-CA"/>
        </w:rPr>
        <w:t>,</w:t>
      </w:r>
      <w:r w:rsidR="0065441D" w:rsidRPr="003E76BE">
        <w:rPr>
          <w:color w:val="000000" w:themeColor="text1"/>
          <w:lang w:val="en-CA"/>
        </w:rPr>
        <w:t xml:space="preserve"> sales and customer service teams), they cannot be scaled up as quickly as digital resources (Chalmers</w:t>
      </w:r>
      <w:r w:rsidR="0065441D">
        <w:rPr>
          <w:color w:val="000000" w:themeColor="text1"/>
          <w:lang w:val="en-CA"/>
        </w:rPr>
        <w:t xml:space="preserve"> et al.</w:t>
      </w:r>
      <w:r w:rsidR="0065441D" w:rsidRPr="003E76BE">
        <w:rPr>
          <w:color w:val="000000" w:themeColor="text1"/>
          <w:lang w:val="en-CA"/>
        </w:rPr>
        <w:t xml:space="preserve">, 2020; Huang et al., 2017). This creates growth bottlenecks that limit </w:t>
      </w:r>
      <w:r w:rsidR="006B5437">
        <w:rPr>
          <w:color w:val="000000" w:themeColor="text1"/>
          <w:lang w:val="en-CA"/>
        </w:rPr>
        <w:t xml:space="preserve">the ability of </w:t>
      </w:r>
      <w:r w:rsidR="0065441D" w:rsidRPr="003E76BE">
        <w:rPr>
          <w:color w:val="000000" w:themeColor="text1"/>
          <w:lang w:val="en-CA"/>
        </w:rPr>
        <w:t xml:space="preserve">digital ventures to </w:t>
      </w:r>
      <w:r w:rsidR="0043020C">
        <w:rPr>
          <w:color w:val="000000" w:themeColor="text1"/>
          <w:lang w:val="en-CA"/>
        </w:rPr>
        <w:t>rapidly</w:t>
      </w:r>
      <w:r w:rsidR="0043020C" w:rsidRPr="003E76BE">
        <w:rPr>
          <w:color w:val="000000" w:themeColor="text1"/>
          <w:lang w:val="en-CA"/>
        </w:rPr>
        <w:t xml:space="preserve"> </w:t>
      </w:r>
      <w:r w:rsidR="0065441D" w:rsidRPr="003E76BE">
        <w:rPr>
          <w:color w:val="000000" w:themeColor="text1"/>
          <w:lang w:val="en-CA"/>
        </w:rPr>
        <w:t xml:space="preserve">pursue international opportunities. </w:t>
      </w:r>
    </w:p>
    <w:p w14:paraId="2938A80F" w14:textId="46EA99EF" w:rsidR="00846560" w:rsidRDefault="0065441D" w:rsidP="00CC4B18">
      <w:pPr>
        <w:spacing w:line="480" w:lineRule="auto"/>
        <w:ind w:firstLine="720"/>
        <w:rPr>
          <w:color w:val="000000" w:themeColor="text1"/>
          <w:lang w:val="en-CA"/>
        </w:rPr>
      </w:pPr>
      <w:r w:rsidRPr="00CC4B18">
        <w:rPr>
          <w:color w:val="000000" w:themeColor="text1"/>
          <w:lang w:val="en-CA"/>
        </w:rPr>
        <w:t xml:space="preserve">As such, differences in demand heterogeneity and the role of non-digital complementary resources raise the specter of </w:t>
      </w:r>
      <w:r w:rsidR="00526E55" w:rsidRPr="00CC4B18">
        <w:rPr>
          <w:color w:val="000000" w:themeColor="text1"/>
          <w:lang w:val="en-CA"/>
        </w:rPr>
        <w:t xml:space="preserve">imperfect scalability, forcing </w:t>
      </w:r>
      <w:r w:rsidRPr="00CC4B18">
        <w:rPr>
          <w:color w:val="000000" w:themeColor="text1"/>
          <w:lang w:val="en-CA"/>
        </w:rPr>
        <w:t xml:space="preserve">cutting-edge digital firms </w:t>
      </w:r>
      <w:r w:rsidR="00526E55" w:rsidRPr="00CC4B18">
        <w:rPr>
          <w:color w:val="000000" w:themeColor="text1"/>
          <w:lang w:val="en-CA"/>
        </w:rPr>
        <w:t xml:space="preserve">to engage in </w:t>
      </w:r>
      <w:r w:rsidRPr="00CC4B18">
        <w:rPr>
          <w:color w:val="000000" w:themeColor="text1"/>
          <w:lang w:val="en-CA"/>
        </w:rPr>
        <w:t xml:space="preserve">traditional, </w:t>
      </w:r>
      <w:r w:rsidR="00BE7005" w:rsidRPr="00CC4B18">
        <w:rPr>
          <w:color w:val="000000" w:themeColor="text1"/>
          <w:lang w:val="en-CA"/>
        </w:rPr>
        <w:t>non</w:t>
      </w:r>
      <w:r w:rsidRPr="00CC4B18">
        <w:rPr>
          <w:color w:val="000000" w:themeColor="text1"/>
          <w:lang w:val="en-CA"/>
        </w:rPr>
        <w:t xml:space="preserve">-digital means of value creation and capture. </w:t>
      </w:r>
      <w:r w:rsidR="00526E55" w:rsidRPr="00CC4B18">
        <w:rPr>
          <w:color w:val="000000" w:themeColor="text1"/>
          <w:lang w:val="en-CA"/>
        </w:rPr>
        <w:t xml:space="preserve">In the following, we argue that this </w:t>
      </w:r>
      <w:r w:rsidR="00526E55" w:rsidRPr="00CC4B18">
        <w:rPr>
          <w:color w:val="000000" w:themeColor="text1"/>
          <w:lang w:val="en-CA"/>
        </w:rPr>
        <w:lastRenderedPageBreak/>
        <w:t xml:space="preserve">has substantial effects on the early internationalization of digital ventures. </w:t>
      </w:r>
      <w:r w:rsidR="0031319E" w:rsidRPr="00CC4B18">
        <w:rPr>
          <w:color w:val="000000" w:themeColor="text1"/>
          <w:lang w:val="en-CA"/>
        </w:rPr>
        <w:t>Specifically, we examine how these factors lead to differences in internationalization among digital ventures at the time of their</w:t>
      </w:r>
      <w:r w:rsidR="00526E55" w:rsidRPr="00CC4B18">
        <w:rPr>
          <w:color w:val="000000" w:themeColor="text1"/>
          <w:lang w:val="en-CA"/>
        </w:rPr>
        <w:t xml:space="preserve"> initial public offering (IPO)</w:t>
      </w:r>
      <w:r w:rsidR="0031319E" w:rsidRPr="00CC4B18">
        <w:rPr>
          <w:color w:val="000000" w:themeColor="text1"/>
          <w:lang w:val="en-CA"/>
        </w:rPr>
        <w:t>, which represents a</w:t>
      </w:r>
      <w:r w:rsidR="006E03A0" w:rsidRPr="00CC4B18">
        <w:rPr>
          <w:color w:val="000000" w:themeColor="text1"/>
          <w:lang w:val="en-CA"/>
        </w:rPr>
        <w:t xml:space="preserve">n important milestone in the lifecycle of many entrepreneurial ventures </w:t>
      </w:r>
      <w:r w:rsidR="0031319E" w:rsidRPr="00CC4B18">
        <w:rPr>
          <w:color w:val="000000" w:themeColor="text1"/>
          <w:lang w:val="en-CA"/>
        </w:rPr>
        <w:t>(</w:t>
      </w:r>
      <w:bookmarkStart w:id="47" w:name="_Hlk89864236"/>
      <w:r w:rsidR="0031319E" w:rsidRPr="00CC4B18">
        <w:rPr>
          <w:color w:val="000000" w:themeColor="text1"/>
          <w:lang w:val="en-CA"/>
        </w:rPr>
        <w:t>Carpenter et al., 2003; Filatotchev &amp; Piesse, 2009</w:t>
      </w:r>
      <w:bookmarkEnd w:id="47"/>
      <w:r w:rsidR="0031319E" w:rsidRPr="00CC4B18">
        <w:rPr>
          <w:color w:val="000000" w:themeColor="text1"/>
          <w:lang w:val="en-CA"/>
        </w:rPr>
        <w:t xml:space="preserve">). </w:t>
      </w:r>
    </w:p>
    <w:p w14:paraId="3902BF97" w14:textId="77777777" w:rsidR="0043020C" w:rsidRPr="00CC4B18" w:rsidRDefault="0043020C" w:rsidP="00146CFD">
      <w:pPr>
        <w:ind w:firstLine="720"/>
        <w:rPr>
          <w:color w:val="000000" w:themeColor="text1"/>
          <w:lang w:val="en-CA"/>
        </w:rPr>
      </w:pPr>
    </w:p>
    <w:p w14:paraId="7E298799" w14:textId="7D941EBD" w:rsidR="0065441D" w:rsidRPr="00B019AD" w:rsidRDefault="0065441D" w:rsidP="0065441D">
      <w:pPr>
        <w:pStyle w:val="Heading1"/>
      </w:pPr>
      <w:r w:rsidRPr="00B019AD">
        <w:t>HYPOTHESES</w:t>
      </w:r>
    </w:p>
    <w:p w14:paraId="39423015" w14:textId="77777777" w:rsidR="0065441D" w:rsidRDefault="0065441D" w:rsidP="0065441D">
      <w:pPr>
        <w:spacing w:line="480" w:lineRule="auto"/>
        <w:jc w:val="both"/>
        <w:rPr>
          <w:rStyle w:val="Heading2Char"/>
        </w:rPr>
      </w:pPr>
      <w:r w:rsidRPr="0026527C">
        <w:rPr>
          <w:rStyle w:val="Heading2Char"/>
        </w:rPr>
        <w:t>Demand heterogeneity and early internationalization</w:t>
      </w:r>
    </w:p>
    <w:p w14:paraId="3B3B68CD" w14:textId="79825957" w:rsidR="0065441D" w:rsidRDefault="0065441D" w:rsidP="0065441D">
      <w:pPr>
        <w:spacing w:line="480" w:lineRule="auto"/>
        <w:ind w:firstLine="720"/>
        <w:jc w:val="both"/>
      </w:pPr>
      <w:r>
        <w:t xml:space="preserve">While digital products and services can be made available </w:t>
      </w:r>
      <w:r w:rsidR="00E67C83">
        <w:t xml:space="preserve">to markets </w:t>
      </w:r>
      <w:r>
        <w:t>across the globe with the push of a button, they may not be equally valued by users</w:t>
      </w:r>
      <w:r w:rsidR="00E67C83">
        <w:t xml:space="preserve"> in different parts of the world</w:t>
      </w:r>
      <w:r>
        <w:t xml:space="preserve">. </w:t>
      </w:r>
      <w:r w:rsidR="00937A49">
        <w:t>R</w:t>
      </w:r>
      <w:r>
        <w:t xml:space="preserve">esearch in international marketing and international business </w:t>
      </w:r>
      <w:r w:rsidR="00937A49">
        <w:t xml:space="preserve">has </w:t>
      </w:r>
      <w:r>
        <w:t xml:space="preserve">examined the extent to which customer preferences differ across countries and, by extension, the extent to which firms should adjust their products and marketing activities (e.g., </w:t>
      </w:r>
      <w:bookmarkStart w:id="48" w:name="_Hlk89864247"/>
      <w:proofErr w:type="spellStart"/>
      <w:r>
        <w:t>Birnik</w:t>
      </w:r>
      <w:proofErr w:type="spellEnd"/>
      <w:r>
        <w:t xml:space="preserve"> &amp; Bowman, 2007;</w:t>
      </w:r>
      <w:r w:rsidR="00CE2204">
        <w:t xml:space="preserve"> </w:t>
      </w:r>
      <w:r>
        <w:t>Cavusgil</w:t>
      </w:r>
      <w:r w:rsidR="008A1B3B">
        <w:t xml:space="preserve">, </w:t>
      </w:r>
      <w:r>
        <w:t>Zou &amp; Naidu, 1993</w:t>
      </w:r>
      <w:bookmarkEnd w:id="48"/>
      <w:r>
        <w:t>). Discordant views abound</w:t>
      </w:r>
      <w:r w:rsidR="006134CA">
        <w:t>; f</w:t>
      </w:r>
      <w:r>
        <w:t xml:space="preserve">or example, Levitt (1983) famously argued that globalization would lead to a convergence of preferences worldwide, allowing firms to standardize their offerings globally. Conversely, others have argued that </w:t>
      </w:r>
      <w:r w:rsidR="0043020C">
        <w:t>differing</w:t>
      </w:r>
      <w:r>
        <w:t xml:space="preserve"> customer needs</w:t>
      </w:r>
      <w:r w:rsidR="00193C2A">
        <w:t>—</w:t>
      </w:r>
      <w:r>
        <w:t>whether due to culture, local economic conditions, or other factors</w:t>
      </w:r>
      <w:r w:rsidR="00193C2A">
        <w:t>—</w:t>
      </w:r>
      <w:r>
        <w:t>will continue to stymie international expansion and make some level of local adaptation inevitable (</w:t>
      </w:r>
      <w:bookmarkStart w:id="49" w:name="_Hlk89864255"/>
      <w:r>
        <w:t xml:space="preserve">Douglas &amp; Wind, 1987; Ghemawat, 2001; </w:t>
      </w:r>
      <w:r w:rsidR="00581CF7">
        <w:t>Verbeke &amp; Kano, 2016</w:t>
      </w:r>
      <w:bookmarkEnd w:id="49"/>
      <w:r>
        <w:t xml:space="preserve">). </w:t>
      </w:r>
    </w:p>
    <w:p w14:paraId="64D7D9D2" w14:textId="4F5B7E91" w:rsidR="0065441D" w:rsidRDefault="0065441D" w:rsidP="0065441D">
      <w:pPr>
        <w:spacing w:line="480" w:lineRule="auto"/>
        <w:ind w:firstLine="720"/>
        <w:jc w:val="both"/>
      </w:pPr>
      <w:r>
        <w:t xml:space="preserve">To date, the implications </w:t>
      </w:r>
      <w:r w:rsidR="00937A49">
        <w:t xml:space="preserve">of demand heterogeneity </w:t>
      </w:r>
      <w:r>
        <w:t xml:space="preserve">for digital firms </w:t>
      </w:r>
      <w:r w:rsidR="00534852">
        <w:t xml:space="preserve">remain </w:t>
      </w:r>
      <w:r>
        <w:t xml:space="preserve">under-researched and </w:t>
      </w:r>
      <w:r w:rsidR="00534852">
        <w:t xml:space="preserve">poorly </w:t>
      </w:r>
      <w:r>
        <w:t>understood</w:t>
      </w:r>
      <w:r w:rsidR="0024773F">
        <w:t xml:space="preserve"> (</w:t>
      </w:r>
      <w:bookmarkStart w:id="50" w:name="_Hlk89864261"/>
      <w:proofErr w:type="spellStart"/>
      <w:r w:rsidR="0024773F">
        <w:t>Mandler</w:t>
      </w:r>
      <w:proofErr w:type="spellEnd"/>
      <w:r w:rsidR="0024773F">
        <w:t xml:space="preserve"> et al., 2021</w:t>
      </w:r>
      <w:r w:rsidR="00534852">
        <w:t>: 431</w:t>
      </w:r>
      <w:bookmarkEnd w:id="50"/>
      <w:r w:rsidR="0024773F">
        <w:t>)</w:t>
      </w:r>
      <w:r>
        <w:t xml:space="preserve">. However, prior international marketing research offers useful guidance, having established that cross-border demand heterogeneity is generally lower for industrial goods than for consumer goods, meaning that relatively more standardization is </w:t>
      </w:r>
      <w:r w:rsidR="00B83746">
        <w:t>possible</w:t>
      </w:r>
      <w:r w:rsidR="00B4700D">
        <w:t xml:space="preserve"> </w:t>
      </w:r>
      <w:r>
        <w:t>for the former, while relatively more adaptation is necessary for the latter (</w:t>
      </w:r>
      <w:bookmarkStart w:id="51" w:name="_Hlk89864284"/>
      <w:proofErr w:type="spellStart"/>
      <w:r>
        <w:t>Birnik</w:t>
      </w:r>
      <w:proofErr w:type="spellEnd"/>
      <w:r>
        <w:t xml:space="preserve"> &amp; Bowman, 2007; Cavusgil et al., 1993; Chung, Wang &amp; Huang, </w:t>
      </w:r>
      <w:r>
        <w:lastRenderedPageBreak/>
        <w:t>2012</w:t>
      </w:r>
      <w:bookmarkEnd w:id="51"/>
      <w:r>
        <w:t>). Building on this research, we expect that digital ventures operating in business-to-business (B2B) markets typically face lower levels of demand heterogeneity than digital ventures operating in business-to-consumer (B2C) markets.</w:t>
      </w:r>
    </w:p>
    <w:p w14:paraId="47CC46E6" w14:textId="72FAAF72" w:rsidR="0065441D" w:rsidRDefault="0065441D" w:rsidP="0065441D">
      <w:pPr>
        <w:spacing w:line="480" w:lineRule="auto"/>
        <w:ind w:firstLine="720"/>
        <w:jc w:val="both"/>
      </w:pPr>
      <w:r>
        <w:t xml:space="preserve">Digital </w:t>
      </w:r>
      <w:r w:rsidRPr="009C581A">
        <w:rPr>
          <w:i/>
          <w:iCs/>
        </w:rPr>
        <w:t>B2B</w:t>
      </w:r>
      <w:r>
        <w:t xml:space="preserve"> firms sell digital products and services to other enterprises. Examples include Slack, an enterprise communication platform, and Stripe, a provider of digital payment services. Analogous to industrial goods in non-digital settings (</w:t>
      </w:r>
      <w:bookmarkStart w:id="52" w:name="_Hlk89864334"/>
      <w:r>
        <w:t>Cavusgil et al., 1993; Jain, 1989</w:t>
      </w:r>
      <w:bookmarkEnd w:id="52"/>
      <w:r>
        <w:t xml:space="preserve">), purchase decisions for digital B2B products are largely driven by value and by the need for highly specialized technical solutions. </w:t>
      </w:r>
      <w:r w:rsidR="009C581A">
        <w:t xml:space="preserve">High levels of technical knowledge and common </w:t>
      </w:r>
      <w:r w:rsidR="006F5A6B">
        <w:t xml:space="preserve">industry </w:t>
      </w:r>
      <w:r w:rsidR="009C581A">
        <w:t>standards—including coding languages, application programming interfaces (APIs), and the widespread use of English—create a shared understanding among technology professionals across countries</w:t>
      </w:r>
      <w:r w:rsidR="006F5A6B">
        <w:t xml:space="preserve"> (</w:t>
      </w:r>
      <w:bookmarkStart w:id="53" w:name="_Hlk89864354"/>
      <w:r w:rsidR="006F5A6B">
        <w:t>Hennart, 2014</w:t>
      </w:r>
      <w:bookmarkEnd w:id="53"/>
      <w:r w:rsidR="006F5A6B">
        <w:t>)</w:t>
      </w:r>
      <w:r w:rsidR="009C581A">
        <w:t xml:space="preserve">. </w:t>
      </w:r>
      <w:r>
        <w:t>Conditions of this nature allow for the emergence of worldwide market segments consisting of customers with relatively homogeneous needs (</w:t>
      </w:r>
      <w:bookmarkStart w:id="54" w:name="_Hlk89864348"/>
      <w:r>
        <w:t>Douglas &amp; Wind, 1987</w:t>
      </w:r>
      <w:bookmarkEnd w:id="54"/>
      <w:r w:rsidR="006F5A6B">
        <w:t>)</w:t>
      </w:r>
      <w:r>
        <w:t>.</w:t>
      </w:r>
    </w:p>
    <w:p w14:paraId="02C8B7D4" w14:textId="250CEE28" w:rsidR="0065441D" w:rsidRDefault="0065441D" w:rsidP="0065441D">
      <w:pPr>
        <w:spacing w:line="480" w:lineRule="auto"/>
        <w:ind w:firstLine="720"/>
        <w:jc w:val="both"/>
      </w:pPr>
      <w:r>
        <w:t xml:space="preserve">Digital </w:t>
      </w:r>
      <w:r w:rsidRPr="006F5A6B">
        <w:rPr>
          <w:i/>
          <w:iCs/>
        </w:rPr>
        <w:t>B2C</w:t>
      </w:r>
      <w:r>
        <w:t xml:space="preserve"> firms, on the other hand,</w:t>
      </w:r>
      <w:r w:rsidRPr="005B3B5F">
        <w:t xml:space="preserve"> </w:t>
      </w:r>
      <w:r>
        <w:t xml:space="preserve">serve individual end-customers directly, either by selling digital products or by making </w:t>
      </w:r>
      <w:r w:rsidR="00C17F1F">
        <w:t>products</w:t>
      </w:r>
      <w:r>
        <w:t xml:space="preserve"> available for free to consumers and monetizing the resulting customer </w:t>
      </w:r>
      <w:r w:rsidR="00F02913">
        <w:t xml:space="preserve">relationships </w:t>
      </w:r>
      <w:r>
        <w:t xml:space="preserve">via advertising-supported business models. Examples of digital B2C firms include </w:t>
      </w:r>
      <w:r w:rsidR="00704E2D">
        <w:t xml:space="preserve">streaming services such as Netflix, </w:t>
      </w:r>
      <w:r>
        <w:t>content platforms such as Buzzfeed, and game developers such as Zynga.</w:t>
      </w:r>
      <w:r w:rsidRPr="005B3B5F">
        <w:t xml:space="preserve"> </w:t>
      </w:r>
      <w:r>
        <w:t>Compared to B2B firms, B2C firms can be expected to face higher levels of cross-border demand heterogeneity</w:t>
      </w:r>
      <w:r w:rsidR="00DF6F6B">
        <w:t>—although exceptions certainly exist</w:t>
      </w:r>
      <w:r w:rsidR="00841245">
        <w:t>.</w:t>
      </w:r>
      <w:r>
        <w:t xml:space="preserve"> </w:t>
      </w:r>
      <w:r w:rsidR="00841245">
        <w:t>D</w:t>
      </w:r>
      <w:r>
        <w:t xml:space="preserve">emand for consumer products is generally more heterogeneous, as these products </w:t>
      </w:r>
      <w:r w:rsidR="00C17F1F">
        <w:t>tend to be</w:t>
      </w:r>
      <w:r>
        <w:t xml:space="preserve"> culture specific and shaped by local tastes and </w:t>
      </w:r>
      <w:r w:rsidR="00725C27">
        <w:t xml:space="preserve">other </w:t>
      </w:r>
      <w:r>
        <w:t>idiosyncrasies (</w:t>
      </w:r>
      <w:proofErr w:type="spellStart"/>
      <w:r>
        <w:t>Birnik</w:t>
      </w:r>
      <w:proofErr w:type="spellEnd"/>
      <w:r>
        <w:t xml:space="preserve"> &amp; Bowman, 2007; Cavusgil et al., 1993; </w:t>
      </w:r>
      <w:bookmarkStart w:id="55" w:name="_Hlk89864363"/>
      <w:r>
        <w:t>Fan &amp; Tan, 2015</w:t>
      </w:r>
      <w:bookmarkEnd w:id="55"/>
      <w:r>
        <w:t>). The limited evidence</w:t>
      </w:r>
      <w:r w:rsidR="000873C2">
        <w:t xml:space="preserve"> available to date</w:t>
      </w:r>
      <w:r>
        <w:t xml:space="preserve"> suggests that </w:t>
      </w:r>
      <w:r>
        <w:rPr>
          <w:i/>
          <w:iCs/>
        </w:rPr>
        <w:t>digital</w:t>
      </w:r>
      <w:r>
        <w:t xml:space="preserve"> consumer products are no </w:t>
      </w:r>
      <w:r w:rsidR="00534852">
        <w:t xml:space="preserve">exception </w:t>
      </w:r>
      <w:r>
        <w:t>(</w:t>
      </w:r>
      <w:bookmarkStart w:id="56" w:name="_Hlk89864368"/>
      <w:r>
        <w:t xml:space="preserve">Blum &amp; Goldfarb, 2006; </w:t>
      </w:r>
      <w:proofErr w:type="spellStart"/>
      <w:r>
        <w:t>Shaheer</w:t>
      </w:r>
      <w:proofErr w:type="spellEnd"/>
      <w:r>
        <w:t xml:space="preserve"> &amp; Li, 2020</w:t>
      </w:r>
      <w:bookmarkEnd w:id="56"/>
      <w:r>
        <w:t>)</w:t>
      </w:r>
      <w:r w:rsidR="00F1557D">
        <w:t>, as</w:t>
      </w:r>
      <w:r>
        <w:t xml:space="preserve"> </w:t>
      </w:r>
      <w:r w:rsidRPr="009B6ACF">
        <w:t xml:space="preserve">B2C customers typically expect a compelling level of localization for </w:t>
      </w:r>
      <w:r>
        <w:t xml:space="preserve">their </w:t>
      </w:r>
      <w:r w:rsidRPr="009B6ACF">
        <w:t>products (</w:t>
      </w:r>
      <w:bookmarkStart w:id="57" w:name="_Hlk89864374"/>
      <w:r w:rsidRPr="009B6ACF">
        <w:t xml:space="preserve">Holm et al., 2017; </w:t>
      </w:r>
      <w:bookmarkEnd w:id="57"/>
      <w:proofErr w:type="spellStart"/>
      <w:r w:rsidRPr="009B6ACF">
        <w:t>Shaheer</w:t>
      </w:r>
      <w:proofErr w:type="spellEnd"/>
      <w:r w:rsidRPr="009B6ACF">
        <w:t xml:space="preserve"> &amp; Li, 2020). </w:t>
      </w:r>
    </w:p>
    <w:p w14:paraId="6941046C" w14:textId="3609B1FE" w:rsidR="0065441D" w:rsidRPr="00BD6580" w:rsidRDefault="0065441D" w:rsidP="00DF6F6B">
      <w:pPr>
        <w:spacing w:line="480" w:lineRule="auto"/>
        <w:ind w:firstLine="720"/>
        <w:jc w:val="both"/>
      </w:pPr>
      <w:r>
        <w:lastRenderedPageBreak/>
        <w:t xml:space="preserve">In sum, cross-border demand heterogeneity </w:t>
      </w:r>
      <w:r w:rsidR="00B73416">
        <w:t xml:space="preserve">limits the ability of digital ventures to easily leverage their existing </w:t>
      </w:r>
      <w:r w:rsidR="00C17F1F">
        <w:t>digital</w:t>
      </w:r>
      <w:r w:rsidR="00B73416">
        <w:t xml:space="preserve"> resources in foreign markets, increasing </w:t>
      </w:r>
      <w:r>
        <w:t>the cost, risk, and organizational complexity associated with international expansion. For new digital ventures, this represents a substantial drain on financial and managerial resources (see Sapienza et al., 2006) and may deter them from pursuing international opportunities early in their existence</w:t>
      </w:r>
      <w:r w:rsidR="008913C6">
        <w:t xml:space="preserve"> (</w:t>
      </w:r>
      <w:proofErr w:type="spellStart"/>
      <w:r w:rsidR="00534852">
        <w:t>Cahen</w:t>
      </w:r>
      <w:proofErr w:type="spellEnd"/>
      <w:r w:rsidR="00534852">
        <w:t xml:space="preserve"> et al., 2016</w:t>
      </w:r>
      <w:r w:rsidR="008913C6">
        <w:t>)</w:t>
      </w:r>
      <w:r w:rsidR="003B0036">
        <w:t>.</w:t>
      </w:r>
      <w:r w:rsidR="002F1C3B">
        <w:t xml:space="preserve"> </w:t>
      </w:r>
      <w:r w:rsidR="008913C6">
        <w:t xml:space="preserve">Therefore, we </w:t>
      </w:r>
      <w:r>
        <w:t>argue that digital ventures in B2C markets</w:t>
      </w:r>
      <w:r w:rsidR="00DF6F6B">
        <w:t>, which</w:t>
      </w:r>
      <w:r>
        <w:t xml:space="preserve"> </w:t>
      </w:r>
      <w:r w:rsidR="005443B2">
        <w:t>tend to</w:t>
      </w:r>
      <w:r>
        <w:t xml:space="preserve"> face higher demand heterogeneity than those in B2B markets</w:t>
      </w:r>
      <w:r w:rsidR="008913C6">
        <w:t xml:space="preserve">, </w:t>
      </w:r>
      <w:bookmarkStart w:id="58" w:name="_Hlk64643124"/>
      <w:r w:rsidR="005443B2">
        <w:t>will generally</w:t>
      </w:r>
      <w:r w:rsidR="008913C6">
        <w:t xml:space="preserve"> be </w:t>
      </w:r>
      <w:r>
        <w:t xml:space="preserve">less aggressive in pursuing international opportunities early on. This should result both in a lower </w:t>
      </w:r>
      <w:r>
        <w:rPr>
          <w:i/>
          <w:iCs/>
        </w:rPr>
        <w:t>proportion</w:t>
      </w:r>
      <w:r>
        <w:t xml:space="preserve"> of B2C ventures </w:t>
      </w:r>
      <w:r w:rsidR="003744F7">
        <w:t xml:space="preserve">generating </w:t>
      </w:r>
      <w:r>
        <w:t>foreign revenues, and</w:t>
      </w:r>
      <w:r w:rsidR="000C2951">
        <w:t>—</w:t>
      </w:r>
      <w:r>
        <w:t>among those that do venture abroad</w:t>
      </w:r>
      <w:r w:rsidR="000C2951">
        <w:t>—</w:t>
      </w:r>
      <w:r>
        <w:t xml:space="preserve">a lower </w:t>
      </w:r>
      <w:r>
        <w:rPr>
          <w:i/>
          <w:iCs/>
        </w:rPr>
        <w:t>share</w:t>
      </w:r>
      <w:r>
        <w:t xml:space="preserve"> of foreign revenues relative to domestic revenues.</w:t>
      </w:r>
      <w:r w:rsidRPr="00BD6580">
        <w:t xml:space="preserve"> </w:t>
      </w:r>
      <w:bookmarkEnd w:id="58"/>
      <w:r w:rsidR="000C2951">
        <w:t>We hypothesize</w:t>
      </w:r>
      <w:r w:rsidR="001E6993">
        <w:t xml:space="preserve"> that</w:t>
      </w:r>
      <w:r w:rsidRPr="00BD6580">
        <w:t xml:space="preserve">:  </w:t>
      </w:r>
    </w:p>
    <w:p w14:paraId="7E539D37" w14:textId="77777777" w:rsidR="0065441D" w:rsidRDefault="0065441D" w:rsidP="0065441D">
      <w:pPr>
        <w:ind w:left="1260" w:right="720" w:hanging="540"/>
        <w:rPr>
          <w:i/>
        </w:rPr>
      </w:pPr>
      <w:r w:rsidRPr="00BD6580">
        <w:rPr>
          <w:b/>
        </w:rPr>
        <w:t>H1a:</w:t>
      </w:r>
      <w:r w:rsidRPr="00BD6580">
        <w:t xml:space="preserve"> </w:t>
      </w:r>
      <w:r w:rsidRPr="00BD6580">
        <w:rPr>
          <w:i/>
        </w:rPr>
        <w:t xml:space="preserve">Digital B2C firms are less likely than digital B2B firms to achieve international sales prior to </w:t>
      </w:r>
      <w:r>
        <w:rPr>
          <w:i/>
        </w:rPr>
        <w:t>their</w:t>
      </w:r>
      <w:r w:rsidRPr="00BD6580">
        <w:rPr>
          <w:i/>
        </w:rPr>
        <w:t xml:space="preserve"> IPO.</w:t>
      </w:r>
    </w:p>
    <w:p w14:paraId="68C35318" w14:textId="77777777" w:rsidR="0065441D" w:rsidRPr="001C68BE" w:rsidRDefault="0065441D" w:rsidP="0065441D">
      <w:pPr>
        <w:ind w:left="1260" w:right="720" w:hanging="540"/>
        <w:rPr>
          <w:i/>
        </w:rPr>
      </w:pPr>
    </w:p>
    <w:p w14:paraId="4787A822" w14:textId="48C38794" w:rsidR="0065441D" w:rsidRDefault="0065441D" w:rsidP="008931C1">
      <w:pPr>
        <w:ind w:left="1260" w:right="1080" w:hanging="540"/>
        <w:jc w:val="both"/>
        <w:rPr>
          <w:i/>
        </w:rPr>
      </w:pPr>
      <w:r w:rsidRPr="001C68BE">
        <w:rPr>
          <w:b/>
        </w:rPr>
        <w:t>H1b:</w:t>
      </w:r>
      <w:r w:rsidRPr="000102D7">
        <w:t xml:space="preserve"> </w:t>
      </w:r>
      <w:r w:rsidRPr="00963BDC">
        <w:rPr>
          <w:i/>
        </w:rPr>
        <w:t xml:space="preserve">Among digital firms that have foreign sales prior to </w:t>
      </w:r>
      <w:r>
        <w:rPr>
          <w:i/>
        </w:rPr>
        <w:t xml:space="preserve">their </w:t>
      </w:r>
      <w:r w:rsidRPr="00963BDC">
        <w:rPr>
          <w:i/>
        </w:rPr>
        <w:t>IPO, B2</w:t>
      </w:r>
      <w:r>
        <w:rPr>
          <w:i/>
        </w:rPr>
        <w:t>C</w:t>
      </w:r>
      <w:r w:rsidRPr="00963BDC">
        <w:rPr>
          <w:i/>
        </w:rPr>
        <w:t xml:space="preserve"> firms have </w:t>
      </w:r>
      <w:r>
        <w:rPr>
          <w:i/>
        </w:rPr>
        <w:t>lower</w:t>
      </w:r>
      <w:r w:rsidRPr="00963BDC">
        <w:rPr>
          <w:i/>
        </w:rPr>
        <w:t xml:space="preserve"> foreign sales ratios than B2</w:t>
      </w:r>
      <w:r>
        <w:rPr>
          <w:i/>
        </w:rPr>
        <w:t>B</w:t>
      </w:r>
      <w:r w:rsidRPr="00963BDC">
        <w:rPr>
          <w:i/>
        </w:rPr>
        <w:t xml:space="preserve"> firms.</w:t>
      </w:r>
    </w:p>
    <w:p w14:paraId="10351F0C" w14:textId="77777777" w:rsidR="008931C1" w:rsidRPr="008931C1" w:rsidRDefault="008931C1" w:rsidP="008931C1">
      <w:pPr>
        <w:ind w:left="1260" w:right="1080" w:hanging="540"/>
        <w:jc w:val="both"/>
        <w:rPr>
          <w:i/>
        </w:rPr>
      </w:pPr>
    </w:p>
    <w:p w14:paraId="3A49FB8A" w14:textId="58073553" w:rsidR="0065441D" w:rsidRPr="001E3FF4" w:rsidRDefault="0065441D" w:rsidP="0065441D">
      <w:pPr>
        <w:pStyle w:val="Heading2"/>
      </w:pPr>
      <w:r>
        <w:t>Complementary non-digital resources and early internationalization</w:t>
      </w:r>
    </w:p>
    <w:p w14:paraId="398BD5FC" w14:textId="4BCC8C7A" w:rsidR="00D93644" w:rsidRDefault="003744F7" w:rsidP="0065441D">
      <w:pPr>
        <w:spacing w:line="480" w:lineRule="auto"/>
        <w:ind w:firstLine="720"/>
        <w:jc w:val="both"/>
      </w:pPr>
      <w:r>
        <w:t>While</w:t>
      </w:r>
      <w:r w:rsidR="0065441D">
        <w:t xml:space="preserve"> the scalable nature of digital resources can accommodate rapid user growth</w:t>
      </w:r>
      <w:r>
        <w:t>,</w:t>
      </w:r>
      <w:r w:rsidR="0065441D">
        <w:t xml:space="preserve"> capturing value from digital offerings requires more than simply making an app available for download and waiting for users to sign up. </w:t>
      </w:r>
      <w:r w:rsidR="00A35CB0">
        <w:t>Generally</w:t>
      </w:r>
      <w:r w:rsidR="0065441D">
        <w:t xml:space="preserve">, digital assets need to be bundled with a range of complementary resources and business activities (Verbeke &amp; </w:t>
      </w:r>
      <w:proofErr w:type="spellStart"/>
      <w:r w:rsidR="0065441D">
        <w:t>Hutzschenreuter</w:t>
      </w:r>
      <w:proofErr w:type="spellEnd"/>
      <w:r w:rsidR="0065441D">
        <w:t>, 202</w:t>
      </w:r>
      <w:r w:rsidR="006E6E46">
        <w:t>1</w:t>
      </w:r>
      <w:r w:rsidR="0065441D">
        <w:t xml:space="preserve">), </w:t>
      </w:r>
      <w:r w:rsidR="00B73416">
        <w:t xml:space="preserve">much like other </w:t>
      </w:r>
      <w:r w:rsidR="00D93644">
        <w:t>technology and knowledge-based resources (Teece, 1986, 2014; Rugman &amp; Verbeke, 2003; Verbeke &amp; Kano, 2016).</w:t>
      </w:r>
      <w:r w:rsidR="0065441D">
        <w:t xml:space="preserve"> These complementary resources and activities include, for example, marketing, sales, and customer service activities (Holm et al., 2017;</w:t>
      </w:r>
      <w:r w:rsidR="0065441D" w:rsidRPr="00714FBF">
        <w:t xml:space="preserve"> </w:t>
      </w:r>
      <w:bookmarkStart w:id="59" w:name="_Hlk89864391"/>
      <w:r w:rsidR="0065441D">
        <w:t>Stallkamp, 2018</w:t>
      </w:r>
      <w:bookmarkEnd w:id="59"/>
      <w:r w:rsidR="0065441D">
        <w:t xml:space="preserve">). For complex digital products in the B2B market, direct customer interaction is often critical, including account management, training, and the integration of software solutions with clients’ </w:t>
      </w:r>
      <w:r w:rsidR="0065441D">
        <w:lastRenderedPageBreak/>
        <w:t>existing systems (</w:t>
      </w:r>
      <w:bookmarkStart w:id="60" w:name="_Hlk89864396"/>
      <w:proofErr w:type="spellStart"/>
      <w:r w:rsidR="0065441D">
        <w:t>Domurath</w:t>
      </w:r>
      <w:proofErr w:type="spellEnd"/>
      <w:r w:rsidR="0065441D">
        <w:t xml:space="preserve"> et al., 2020</w:t>
      </w:r>
      <w:bookmarkEnd w:id="60"/>
      <w:r w:rsidR="0065441D">
        <w:t>; Monaghan &amp; Tippman, 2018). B2C firms need to engage in marketing, customer support, content development, community building, and ongoing engagement with the user base, to ensure that their products remain relevant to customers and competitive within their target segments (</w:t>
      </w:r>
      <w:r w:rsidR="0065441D" w:rsidRPr="00695000">
        <w:t>Li</w:t>
      </w:r>
      <w:r w:rsidR="0065441D">
        <w:t xml:space="preserve">bert et al., </w:t>
      </w:r>
      <w:r w:rsidR="0065441D" w:rsidRPr="00695000">
        <w:t>2016</w:t>
      </w:r>
      <w:r w:rsidR="0065441D">
        <w:t xml:space="preserve">). </w:t>
      </w:r>
    </w:p>
    <w:p w14:paraId="4343B925" w14:textId="460F565E" w:rsidR="0065441D" w:rsidRDefault="0065441D" w:rsidP="0065441D">
      <w:pPr>
        <w:spacing w:line="480" w:lineRule="auto"/>
        <w:ind w:firstLine="720"/>
        <w:jc w:val="both"/>
      </w:pPr>
      <w:r>
        <w:t>Th</w:t>
      </w:r>
      <w:r w:rsidR="00D93644">
        <w:t>e</w:t>
      </w:r>
      <w:r>
        <w:t xml:space="preserve"> challenge</w:t>
      </w:r>
      <w:r w:rsidR="00D93644">
        <w:t>s of resource bundling are</w:t>
      </w:r>
      <w:r>
        <w:t xml:space="preserve"> particularly acute for digital platform</w:t>
      </w:r>
      <w:r w:rsidR="00D6509F">
        <w:t>s</w:t>
      </w:r>
      <w:r>
        <w:t xml:space="preserve"> </w:t>
      </w:r>
      <w:r w:rsidR="00D6509F">
        <w:t xml:space="preserve">operating </w:t>
      </w:r>
      <w:r>
        <w:t xml:space="preserve">at the interface of virtual and physical worlds, </w:t>
      </w:r>
      <w:r w:rsidR="00D6509F">
        <w:t>for example in</w:t>
      </w:r>
      <w:r>
        <w:t xml:space="preserve"> the transportation, lodging, or food delivery sectors. In these cases, non-digital complementary resources are needed </w:t>
      </w:r>
      <w:r w:rsidR="00CD637D">
        <w:t>to coordinate</w:t>
      </w:r>
      <w:r>
        <w:t xml:space="preserve"> </w:t>
      </w:r>
      <w:r w:rsidR="00841245">
        <w:t>transactions that</w:t>
      </w:r>
      <w:r>
        <w:t xml:space="preserve"> are part-virtual and part-real-world, thereby requiring problem-solving</w:t>
      </w:r>
      <w:r w:rsidR="00D6509F">
        <w:t xml:space="preserve"> on the ground</w:t>
      </w:r>
      <w:r>
        <w:t xml:space="preserve"> and relationship-building with </w:t>
      </w:r>
      <w:r w:rsidR="00D6509F">
        <w:t xml:space="preserve">numerous </w:t>
      </w:r>
      <w:r>
        <w:t>stakeholders (</w:t>
      </w:r>
      <w:bookmarkStart w:id="61" w:name="_Hlk89864407"/>
      <w:r>
        <w:t xml:space="preserve">Garud et al., 2020; Holm et al., 2017; Stallkamp &amp; Schotter, 2021; </w:t>
      </w:r>
      <w:proofErr w:type="spellStart"/>
      <w:r>
        <w:t>Wentrup</w:t>
      </w:r>
      <w:proofErr w:type="spellEnd"/>
      <w:r>
        <w:t>, 2016</w:t>
      </w:r>
      <w:bookmarkEnd w:id="61"/>
      <w:r>
        <w:t>). For example, Uber dispatches city managers to coordinate operations in each major city (</w:t>
      </w:r>
      <w:bookmarkStart w:id="62" w:name="_Hlk89864414"/>
      <w:r>
        <w:t>Stone, 2017</w:t>
      </w:r>
      <w:bookmarkEnd w:id="62"/>
      <w:r>
        <w:t xml:space="preserve">), even while the transaction system itself appears to drivers and passengers to be entirely digital. </w:t>
      </w:r>
    </w:p>
    <w:p w14:paraId="18229C62" w14:textId="1FB90171" w:rsidR="0065441D" w:rsidRDefault="0065441D" w:rsidP="0065441D">
      <w:pPr>
        <w:spacing w:line="480" w:lineRule="auto"/>
        <w:ind w:firstLine="720"/>
        <w:jc w:val="both"/>
      </w:pPr>
      <w:r>
        <w:t>While these complementary resources are what make a digital venture’s core digital asset</w:t>
      </w:r>
      <w:r w:rsidR="009A05AE">
        <w:t>s</w:t>
      </w:r>
      <w:r>
        <w:t xml:space="preserve"> “exploitable and profitable” (Verbeke &amp; </w:t>
      </w:r>
      <w:proofErr w:type="spellStart"/>
      <w:r>
        <w:t>Hutzschenreuter</w:t>
      </w:r>
      <w:proofErr w:type="spellEnd"/>
      <w:r>
        <w:t>, 202</w:t>
      </w:r>
      <w:r w:rsidR="006E6E46">
        <w:t>1</w:t>
      </w:r>
      <w:r>
        <w:t xml:space="preserve">: </w:t>
      </w:r>
      <w:r w:rsidR="004B5015">
        <w:t>613</w:t>
      </w:r>
      <w:r w:rsidR="009A05AE">
        <w:t xml:space="preserve">), </w:t>
      </w:r>
      <w:r>
        <w:t>it is also why there are potent implications for digital firm scalability. When complementary resources are non-digital (e.g., sales and customer support staff, city launchers, content producers), they do not share the scale-free characteristics of the core digital product. Hence, they represent potential scalability bottlenecks that can constrain the international expansion of digital ventures. Crucially, digital ventures vary in their dependence on non-digital complementary resources. Some ventures have reduced their dependence on such resources through innovative business model design</w:t>
      </w:r>
      <w:r w:rsidR="00502A47">
        <w:t>.</w:t>
      </w:r>
      <w:r>
        <w:t xml:space="preserve"> For example, Hennart (2014) cites Atlassian, </w:t>
      </w:r>
      <w:r w:rsidR="00BD7A65">
        <w:t xml:space="preserve">while </w:t>
      </w:r>
      <w:r>
        <w:t>Huang</w:t>
      </w:r>
      <w:r w:rsidR="00502A47">
        <w:t xml:space="preserve"> </w:t>
      </w:r>
      <w:r w:rsidR="00BD7A65">
        <w:t>and colleagues</w:t>
      </w:r>
      <w:r>
        <w:t xml:space="preserve"> (2017) cite </w:t>
      </w:r>
      <w:proofErr w:type="spellStart"/>
      <w:r>
        <w:t>WeCash</w:t>
      </w:r>
      <w:proofErr w:type="spellEnd"/>
      <w:r>
        <w:t xml:space="preserve">, as businesses that have </w:t>
      </w:r>
      <w:r w:rsidR="00CD637D">
        <w:t>dramatically reduced</w:t>
      </w:r>
      <w:r>
        <w:t xml:space="preserve"> the need for traditional, non-digital, human-capital-driven resources by automating processes through self-service interfaces and AI-driven chatbots. </w:t>
      </w:r>
      <w:r>
        <w:lastRenderedPageBreak/>
        <w:t xml:space="preserve">Those digital ventures that cannot automate core processes are forced to rely to a greater degree on business activities traditionally carried out by humans. For example, Uber and Spotify retain large customer service and sales teams, while </w:t>
      </w:r>
      <w:proofErr w:type="spellStart"/>
      <w:r>
        <w:t>ByteDance</w:t>
      </w:r>
      <w:proofErr w:type="spellEnd"/>
      <w:r>
        <w:t xml:space="preserve"> and Facebook each have more than 10,000 employees devoted to content </w:t>
      </w:r>
      <w:r w:rsidR="00ED5CBC">
        <w:t>moderation</w:t>
      </w:r>
      <w:r>
        <w:t xml:space="preserve"> (</w:t>
      </w:r>
      <w:bookmarkStart w:id="63" w:name="_Hlk89864465"/>
      <w:proofErr w:type="spellStart"/>
      <w:r>
        <w:t>Koetsier</w:t>
      </w:r>
      <w:proofErr w:type="spellEnd"/>
      <w:r>
        <w:t>, 2020; Zhang, 2019</w:t>
      </w:r>
      <w:bookmarkEnd w:id="63"/>
      <w:r>
        <w:t xml:space="preserve">). </w:t>
      </w:r>
    </w:p>
    <w:p w14:paraId="68526C57" w14:textId="31C844AD" w:rsidR="0065441D" w:rsidRDefault="0065441D" w:rsidP="0043020C">
      <w:pPr>
        <w:spacing w:line="480" w:lineRule="auto"/>
        <w:ind w:firstLine="720"/>
        <w:jc w:val="both"/>
      </w:pPr>
      <w:r>
        <w:t xml:space="preserve">Differences in the need for non-digital complementary resources affect the relative ease with which digital firms can expand, including into foreign markets. The idealized digital venture discussed in much of the extant literature uses software for most of its business processes, and is therefore highly scalable (e.g., Adner et al., 2019; Nambisan, 2017; Reuber et al., 2014), which leads to </w:t>
      </w:r>
      <w:r w:rsidRPr="000E5D6C">
        <w:t>very high gross margins (Chalmers et al., 2020; Hoffman &amp; Yeh, 2018)</w:t>
      </w:r>
      <w:r>
        <w:t xml:space="preserve"> and </w:t>
      </w:r>
      <w:r w:rsidRPr="000E5D6C">
        <w:t>amplif</w:t>
      </w:r>
      <w:r>
        <w:t>ies</w:t>
      </w:r>
      <w:r w:rsidRPr="000E5D6C">
        <w:t xml:space="preserve"> the financial incentive to aggressively pursu</w:t>
      </w:r>
      <w:r>
        <w:t>e</w:t>
      </w:r>
      <w:r w:rsidRPr="000E5D6C">
        <w:t xml:space="preserve"> </w:t>
      </w:r>
      <w:r>
        <w:t xml:space="preserve">growth in </w:t>
      </w:r>
      <w:r w:rsidRPr="000E5D6C">
        <w:t>foreign market</w:t>
      </w:r>
      <w:r>
        <w:t>s</w:t>
      </w:r>
      <w:r w:rsidRPr="000E5D6C">
        <w:t xml:space="preserve">. By contrast, digital </w:t>
      </w:r>
      <w:r>
        <w:t>ventures</w:t>
      </w:r>
      <w:r w:rsidRPr="000E5D6C">
        <w:t xml:space="preserve"> that </w:t>
      </w:r>
      <w:r>
        <w:t xml:space="preserve">require relatively more non-digital complementary resources </w:t>
      </w:r>
      <w:r w:rsidRPr="000E5D6C">
        <w:t>face greater hurdles in expanding internationally. For example, hiring, training, and integrating new employees</w:t>
      </w:r>
      <w:r>
        <w:t xml:space="preserve"> to handle additional foreign customers</w:t>
      </w:r>
      <w:r w:rsidRPr="000E5D6C">
        <w:t xml:space="preserve"> is costly and time-consuming</w:t>
      </w:r>
      <w:r>
        <w:t xml:space="preserve"> (Sapienza et al., 2006)</w:t>
      </w:r>
      <w:r w:rsidRPr="000E5D6C">
        <w:t>, especially if foreign language proficiency and knowledge of local cultures are required (</w:t>
      </w:r>
      <w:proofErr w:type="spellStart"/>
      <w:r w:rsidR="00E36650">
        <w:t>Cahen</w:t>
      </w:r>
      <w:proofErr w:type="spellEnd"/>
      <w:r w:rsidR="00E36650">
        <w:t xml:space="preserve"> et al., 2016; </w:t>
      </w:r>
      <w:bookmarkStart w:id="64" w:name="_Hlk89864476"/>
      <w:r w:rsidRPr="000E5D6C">
        <w:t xml:space="preserve">Gulati &amp; </w:t>
      </w:r>
      <w:proofErr w:type="spellStart"/>
      <w:r w:rsidRPr="000E5D6C">
        <w:t>Desantola</w:t>
      </w:r>
      <w:proofErr w:type="spellEnd"/>
      <w:r w:rsidRPr="000E5D6C">
        <w:t>, 2016</w:t>
      </w:r>
      <w:bookmarkEnd w:id="64"/>
      <w:r w:rsidRPr="000E5D6C">
        <w:t>).</w:t>
      </w:r>
      <w:r>
        <w:t xml:space="preserve"> Expanding</w:t>
      </w:r>
      <w:r w:rsidRPr="000E5D6C">
        <w:t xml:space="preserve"> internationally may </w:t>
      </w:r>
      <w:r>
        <w:t xml:space="preserve">thus take more time and </w:t>
      </w:r>
      <w:r w:rsidRPr="000E5D6C">
        <w:t xml:space="preserve">require substantial incremental investments, </w:t>
      </w:r>
      <w:r w:rsidR="0043020C">
        <w:t>while driving lower</w:t>
      </w:r>
      <w:r w:rsidR="0043020C" w:rsidRPr="000E5D6C">
        <w:t xml:space="preserve"> </w:t>
      </w:r>
      <w:r w:rsidRPr="000E5D6C">
        <w:t xml:space="preserve">gross margins </w:t>
      </w:r>
      <w:r w:rsidR="0043020C">
        <w:t>and</w:t>
      </w:r>
      <w:r w:rsidRPr="000E5D6C">
        <w:t xml:space="preserve"> reducing the incentive for aggressive top-line expansion</w:t>
      </w:r>
      <w:r w:rsidR="0043020C">
        <w:t xml:space="preserve"> through international revenue generation</w:t>
      </w:r>
      <w:r w:rsidR="000E1087">
        <w:t>.</w:t>
      </w:r>
      <w:r>
        <w:t xml:space="preserve"> Therefore, we hypothesize that:</w:t>
      </w:r>
    </w:p>
    <w:p w14:paraId="3D1344B0" w14:textId="77777777" w:rsidR="0065441D" w:rsidRDefault="0065441D" w:rsidP="0065441D">
      <w:pPr>
        <w:ind w:left="1350" w:right="720" w:hanging="630"/>
        <w:jc w:val="both"/>
        <w:rPr>
          <w:i/>
        </w:rPr>
      </w:pPr>
      <w:r w:rsidRPr="00322773">
        <w:rPr>
          <w:b/>
        </w:rPr>
        <w:t>H2a:</w:t>
      </w:r>
      <w:r>
        <w:t xml:space="preserve"> </w:t>
      </w:r>
      <w:r w:rsidRPr="00FF5553">
        <w:rPr>
          <w:i/>
        </w:rPr>
        <w:t xml:space="preserve">Digital </w:t>
      </w:r>
      <w:r>
        <w:rPr>
          <w:i/>
        </w:rPr>
        <w:t>ventures</w:t>
      </w:r>
      <w:r w:rsidRPr="00FF5553">
        <w:rPr>
          <w:i/>
        </w:rPr>
        <w:t xml:space="preserve"> </w:t>
      </w:r>
      <w:r>
        <w:rPr>
          <w:i/>
        </w:rPr>
        <w:t>that are less reliant upon non-digital, complementary resources</w:t>
      </w:r>
      <w:r w:rsidRPr="00FF5553">
        <w:rPr>
          <w:i/>
        </w:rPr>
        <w:t xml:space="preserve"> are more likely to achieve international sales prior to </w:t>
      </w:r>
      <w:r>
        <w:rPr>
          <w:i/>
        </w:rPr>
        <w:t xml:space="preserve">their </w:t>
      </w:r>
      <w:r w:rsidRPr="00FF5553">
        <w:rPr>
          <w:i/>
        </w:rPr>
        <w:t>IPO than digital firms with less digitalized business models.</w:t>
      </w:r>
    </w:p>
    <w:p w14:paraId="273EE0D1" w14:textId="77777777" w:rsidR="0065441D" w:rsidRDefault="0065441D" w:rsidP="0065441D">
      <w:pPr>
        <w:ind w:right="720"/>
        <w:jc w:val="both"/>
        <w:rPr>
          <w:i/>
        </w:rPr>
      </w:pPr>
    </w:p>
    <w:p w14:paraId="32437357" w14:textId="77777777" w:rsidR="0065441D" w:rsidRDefault="0065441D" w:rsidP="0065441D">
      <w:pPr>
        <w:ind w:right="720"/>
        <w:jc w:val="both"/>
        <w:rPr>
          <w:i/>
        </w:rPr>
      </w:pPr>
    </w:p>
    <w:p w14:paraId="60AC9A09" w14:textId="69CCAE97" w:rsidR="0065441D" w:rsidRDefault="0065441D" w:rsidP="0065441D">
      <w:pPr>
        <w:ind w:left="1350" w:hanging="630"/>
        <w:jc w:val="both"/>
        <w:rPr>
          <w:i/>
          <w:iCs/>
        </w:rPr>
      </w:pPr>
      <w:r w:rsidRPr="002714ED">
        <w:rPr>
          <w:b/>
          <w:bCs/>
        </w:rPr>
        <w:t>H2b:</w:t>
      </w:r>
      <w:r>
        <w:t xml:space="preserve"> </w:t>
      </w:r>
      <w:r w:rsidRPr="002714ED">
        <w:rPr>
          <w:i/>
          <w:iCs/>
        </w:rPr>
        <w:t xml:space="preserve">Among digital </w:t>
      </w:r>
      <w:r>
        <w:rPr>
          <w:i/>
          <w:iCs/>
        </w:rPr>
        <w:t>ventures</w:t>
      </w:r>
      <w:r w:rsidRPr="002714ED">
        <w:rPr>
          <w:i/>
          <w:iCs/>
        </w:rPr>
        <w:t xml:space="preserve"> that have </w:t>
      </w:r>
      <w:r w:rsidRPr="00DA38B9">
        <w:rPr>
          <w:i/>
          <w:iCs/>
        </w:rPr>
        <w:t>foreign sales prior to their IPO, the foreign sales ratio will be higher for firms with relatively less reliance upon non-digital, complementary resources.</w:t>
      </w:r>
    </w:p>
    <w:p w14:paraId="6C52C0CD" w14:textId="77777777" w:rsidR="0043020C" w:rsidRDefault="0043020C" w:rsidP="0065441D">
      <w:pPr>
        <w:ind w:left="1350" w:hanging="630"/>
        <w:jc w:val="both"/>
      </w:pPr>
    </w:p>
    <w:p w14:paraId="51E261DD" w14:textId="77777777" w:rsidR="00ED5CBC" w:rsidRDefault="00ED5CBC" w:rsidP="0065441D">
      <w:pPr>
        <w:pStyle w:val="Heading2"/>
      </w:pPr>
    </w:p>
    <w:p w14:paraId="2063036C" w14:textId="33C2C3E8" w:rsidR="0065441D" w:rsidRDefault="0065441D" w:rsidP="0065441D">
      <w:pPr>
        <w:pStyle w:val="Heading2"/>
      </w:pPr>
      <w:r w:rsidRPr="000E28AB">
        <w:lastRenderedPageBreak/>
        <w:t xml:space="preserve">The Compensatory </w:t>
      </w:r>
      <w:r w:rsidR="00DB712F">
        <w:t>Role</w:t>
      </w:r>
      <w:r w:rsidR="00DB712F" w:rsidRPr="000E28AB">
        <w:t xml:space="preserve"> </w:t>
      </w:r>
      <w:r w:rsidRPr="000E28AB">
        <w:t>of Acquisitions</w:t>
      </w:r>
    </w:p>
    <w:p w14:paraId="118715F6" w14:textId="10AF7CE7" w:rsidR="0065441D" w:rsidRDefault="007622CA" w:rsidP="0065441D">
      <w:pPr>
        <w:spacing w:line="480" w:lineRule="auto"/>
        <w:ind w:firstLine="720"/>
        <w:jc w:val="both"/>
      </w:pPr>
      <w:r>
        <w:t>D</w:t>
      </w:r>
      <w:r w:rsidR="0065441D">
        <w:t xml:space="preserve">emand heterogeneity and bottlenecks related to complementary resources can limit the ability of digital ventures to exploit </w:t>
      </w:r>
      <w:r>
        <w:t>existing digital resources in foreign markets</w:t>
      </w:r>
      <w:r w:rsidR="0065441D">
        <w:t xml:space="preserve">. Firms facing these challenges have three strategic choices: </w:t>
      </w:r>
      <w:r w:rsidR="00DA2BA4">
        <w:t>curtail</w:t>
      </w:r>
      <w:r w:rsidR="00502A47">
        <w:t xml:space="preserve"> their international ambitions</w:t>
      </w:r>
      <w:r w:rsidR="0065441D">
        <w:t>; undertake an internal program to build complementary, non-digital resources</w:t>
      </w:r>
      <w:r w:rsidR="00C56DC0">
        <w:t xml:space="preserve"> and locally</w:t>
      </w:r>
      <w:r w:rsidR="002B2E78">
        <w:t xml:space="preserve"> </w:t>
      </w:r>
      <w:r w:rsidR="00C56DC0">
        <w:t>relevant products</w:t>
      </w:r>
      <w:r w:rsidR="0065441D">
        <w:t>; or undertake acquisition</w:t>
      </w:r>
      <w:r w:rsidR="00A70FE4">
        <w:t>s</w:t>
      </w:r>
      <w:r w:rsidR="0065441D">
        <w:t xml:space="preserve"> to buy complementary, non-digital resources</w:t>
      </w:r>
      <w:r w:rsidR="00C56DC0">
        <w:t xml:space="preserve"> and a local market presence</w:t>
      </w:r>
      <w:r w:rsidR="0065441D">
        <w:t xml:space="preserve">. </w:t>
      </w:r>
      <w:bookmarkStart w:id="65" w:name="_Hlk89864492"/>
      <w:proofErr w:type="spellStart"/>
      <w:r w:rsidR="0065441D">
        <w:t>Miric</w:t>
      </w:r>
      <w:proofErr w:type="spellEnd"/>
      <w:r w:rsidR="0065441D">
        <w:t xml:space="preserve"> and colleagues </w:t>
      </w:r>
      <w:bookmarkEnd w:id="65"/>
      <w:r w:rsidR="0065441D">
        <w:t xml:space="preserve">(2021) found that digital platform firms facing critical resource deficits employed acquisition strategies to </w:t>
      </w:r>
      <w:r w:rsidR="00A70FE4">
        <w:t>scale up their business more effectively</w:t>
      </w:r>
      <w:r w:rsidR="0065441D">
        <w:t>. This is especially relevant to digital firms because the window of opportunity for successful foreign market entry is short, due to</w:t>
      </w:r>
      <w:r w:rsidR="00DA2BA4">
        <w:t xml:space="preserve"> the risks </w:t>
      </w:r>
      <w:r w:rsidR="0065441D">
        <w:t>of imitation, loss of first-mover advantages, and product obsolescence (</w:t>
      </w:r>
      <w:bookmarkStart w:id="66" w:name="_Hlk89864500"/>
      <w:r w:rsidR="00C17F1F">
        <w:t>Crick et al., 2020</w:t>
      </w:r>
      <w:bookmarkEnd w:id="66"/>
      <w:r w:rsidR="0065441D">
        <w:t xml:space="preserve">). </w:t>
      </w:r>
    </w:p>
    <w:p w14:paraId="06623C09" w14:textId="23AEA2BA" w:rsidR="0065441D" w:rsidRDefault="0065441D" w:rsidP="0065441D">
      <w:pPr>
        <w:spacing w:line="480" w:lineRule="auto"/>
        <w:ind w:firstLine="720"/>
        <w:jc w:val="both"/>
      </w:pPr>
      <w:r>
        <w:t xml:space="preserve">We have argued that digital B2C firms generally face higher cross-border demand heterogeneity than B2B firms, which requires complex local adaptation (Hypothesis 1). However, B2C firms can partially compensate for this by acquiring </w:t>
      </w:r>
      <w:r w:rsidR="00DA2BA4">
        <w:t>local</w:t>
      </w:r>
      <w:r>
        <w:t xml:space="preserve"> firms. </w:t>
      </w:r>
      <w:r w:rsidR="00FE5665">
        <w:t>F</w:t>
      </w:r>
      <w:r>
        <w:t>oreign acquisitions can provide rapid access to local knowledge, brands, and customer relationships (</w:t>
      </w:r>
      <w:proofErr w:type="spellStart"/>
      <w:r>
        <w:t>Miric</w:t>
      </w:r>
      <w:proofErr w:type="spellEnd"/>
      <w:r w:rsidR="00502A47">
        <w:t xml:space="preserve"> et al.</w:t>
      </w:r>
      <w:r>
        <w:t xml:space="preserve">, 2021), which may accelerate the process of penetrating foreign markets. </w:t>
      </w:r>
      <w:r w:rsidR="00FE5665">
        <w:t xml:space="preserve">We posit that foreign acquisitions represent a </w:t>
      </w:r>
      <w:r w:rsidR="00FE5665" w:rsidRPr="002714ED">
        <w:rPr>
          <w:i/>
          <w:iCs/>
        </w:rPr>
        <w:t>compensatory mechanism</w:t>
      </w:r>
      <w:r w:rsidR="00FE5665">
        <w:t xml:space="preserve"> through which digital firms seek to overcome the internationalization hurdles related to demand heterogeneity and the need for complementary resources. </w:t>
      </w:r>
      <w:r>
        <w:t>While both B2C and B2B firms pursue foreign acquisitions, we predict that</w:t>
      </w:r>
      <w:r w:rsidR="002B2E78">
        <w:t xml:space="preserve"> acquisitions are a particularly effective compensatory mechanism for</w:t>
      </w:r>
      <w:r>
        <w:t xml:space="preserve"> B2C firms</w:t>
      </w:r>
      <w:r w:rsidR="002B2E78">
        <w:t>, allowing them</w:t>
      </w:r>
      <w:r>
        <w:t xml:space="preserve"> </w:t>
      </w:r>
      <w:r w:rsidR="002B2E78">
        <w:t>to overcome the challenges related to demand heterogeneity</w:t>
      </w:r>
      <w:r w:rsidR="00B279B0">
        <w:t xml:space="preserve"> that typically haunt B2C firms in foreign markets</w:t>
      </w:r>
      <w:r w:rsidR="002B2E78">
        <w:t xml:space="preserve">. </w:t>
      </w:r>
      <w:r>
        <w:t>As a result, foreign acquisitions by B2C firms should reduce the internationalization gap</w:t>
      </w:r>
      <w:r w:rsidR="007A3700" w:rsidRPr="007A3700">
        <w:rPr>
          <w:vertAlign w:val="superscript"/>
        </w:rPr>
        <w:t>3</w:t>
      </w:r>
      <w:r>
        <w:t xml:space="preserve"> between digital B2C and digital B2B firms. Therefore, we hypothesize that:</w:t>
      </w:r>
    </w:p>
    <w:p w14:paraId="01A5EB8E" w14:textId="77777777" w:rsidR="0065441D" w:rsidRDefault="0065441D" w:rsidP="0065441D">
      <w:pPr>
        <w:spacing w:line="276" w:lineRule="auto"/>
        <w:ind w:left="720" w:right="720"/>
        <w:jc w:val="both"/>
      </w:pPr>
      <w:r>
        <w:rPr>
          <w:b/>
          <w:bCs/>
        </w:rPr>
        <w:lastRenderedPageBreak/>
        <w:t>H3</w:t>
      </w:r>
      <w:r w:rsidRPr="00BD6580">
        <w:rPr>
          <w:b/>
          <w:bCs/>
        </w:rPr>
        <w:t xml:space="preserve">: </w:t>
      </w:r>
      <w:r w:rsidRPr="00BD6580">
        <w:rPr>
          <w:i/>
        </w:rPr>
        <w:t>The negative relationship between B2C and the foreign</w:t>
      </w:r>
      <w:r w:rsidRPr="002714ED">
        <w:rPr>
          <w:i/>
        </w:rPr>
        <w:t xml:space="preserve"> sales ratio is weaker for firms with pre-IPO foreign acquisitions</w:t>
      </w:r>
      <w:r>
        <w:t>.</w:t>
      </w:r>
    </w:p>
    <w:p w14:paraId="554A6899" w14:textId="77777777" w:rsidR="0065441D" w:rsidRDefault="0065441D" w:rsidP="0065441D">
      <w:pPr>
        <w:ind w:firstLine="720"/>
        <w:jc w:val="both"/>
      </w:pPr>
    </w:p>
    <w:p w14:paraId="229B9066" w14:textId="56AA1C45" w:rsidR="0065441D" w:rsidRDefault="0065441D" w:rsidP="0065441D">
      <w:pPr>
        <w:spacing w:line="480" w:lineRule="auto"/>
        <w:ind w:firstLine="720"/>
        <w:jc w:val="both"/>
      </w:pPr>
      <w:r>
        <w:t>Hypotheses 2a and 2b suggest that the need to develop complementary resources can represent bottlenecks that prevent digital firms from scaling rapidly, even though their core technolog</w:t>
      </w:r>
      <w:r w:rsidR="000435F5">
        <w:t>ical resources</w:t>
      </w:r>
      <w:r>
        <w:t xml:space="preserve"> could theoretically accommodate explosive user growth (Huang et al., 2017). Thus, digital firms that are relatively more reliant upon non-digital complementary resources will</w:t>
      </w:r>
      <w:r w:rsidR="00515822">
        <w:t xml:space="preserve"> typically </w:t>
      </w:r>
      <w:r>
        <w:t xml:space="preserve">not pursue international opportunities as aggressively as they might otherwise. Since </w:t>
      </w:r>
      <w:r w:rsidR="00515822">
        <w:t>replicating business processes,</w:t>
      </w:r>
      <w:r>
        <w:t xml:space="preserve"> hiring and training employees</w:t>
      </w:r>
      <w:r w:rsidR="00515822">
        <w:t>, and securing other non-digital resources</w:t>
      </w:r>
      <w:r>
        <w:t xml:space="preserve"> is time-consuming (Sapienza et al., 2006), foreign acquisitions may allow digital firms to compensate for these constraints</w:t>
      </w:r>
      <w:r w:rsidR="000435F5">
        <w:t>,</w:t>
      </w:r>
      <w:r>
        <w:t xml:space="preserve"> by acquiring complete organizations in </w:t>
      </w:r>
      <w:r w:rsidR="00FE5665">
        <w:t xml:space="preserve">the </w:t>
      </w:r>
      <w:r>
        <w:t>target market. Recent research suggests that acquisitions are particularly common among digital firms in winner-takes-all markets, where rapid scaling is crucial (</w:t>
      </w:r>
      <w:proofErr w:type="spellStart"/>
      <w:r>
        <w:t>Miric</w:t>
      </w:r>
      <w:proofErr w:type="spellEnd"/>
      <w:r w:rsidR="003A0C91">
        <w:t xml:space="preserve"> et al.</w:t>
      </w:r>
      <w:r>
        <w:t>, 2021). Thus, we expect that foreign acquisitions allow digital ventures with a greater need for complementary resources to close the internationalization gap. Therefore, we hypothesize that:</w:t>
      </w:r>
    </w:p>
    <w:p w14:paraId="44FF5DB0" w14:textId="11AE463E" w:rsidR="0065441D" w:rsidRDefault="0065441D" w:rsidP="009E5E5D">
      <w:pPr>
        <w:spacing w:line="276" w:lineRule="auto"/>
        <w:ind w:left="720" w:right="720"/>
        <w:jc w:val="both"/>
        <w:rPr>
          <w:i/>
        </w:rPr>
      </w:pPr>
      <w:r w:rsidRPr="00834A1B">
        <w:rPr>
          <w:b/>
          <w:bCs/>
        </w:rPr>
        <w:t>H4:</w:t>
      </w:r>
      <w:r w:rsidRPr="00834A1B">
        <w:t xml:space="preserve"> </w:t>
      </w:r>
      <w:r w:rsidR="00112CEB" w:rsidRPr="00112CEB">
        <w:rPr>
          <w:i/>
        </w:rPr>
        <w:t xml:space="preserve">The </w:t>
      </w:r>
      <w:r w:rsidR="00112CEB">
        <w:rPr>
          <w:i/>
        </w:rPr>
        <w:t xml:space="preserve">negative </w:t>
      </w:r>
      <w:r w:rsidR="00112CEB" w:rsidRPr="00112CEB">
        <w:rPr>
          <w:i/>
        </w:rPr>
        <w:t xml:space="preserve">relationship between a firm’s </w:t>
      </w:r>
      <w:r w:rsidR="00A70FE4">
        <w:rPr>
          <w:i/>
        </w:rPr>
        <w:t xml:space="preserve">reliance on </w:t>
      </w:r>
      <w:r w:rsidR="00112CEB" w:rsidRPr="00112CEB">
        <w:rPr>
          <w:i/>
        </w:rPr>
        <w:t xml:space="preserve">complementary, non-digital resources </w:t>
      </w:r>
      <w:r w:rsidR="00A70FE4">
        <w:rPr>
          <w:i/>
        </w:rPr>
        <w:t xml:space="preserve">and its foreign sales ratio </w:t>
      </w:r>
      <w:r w:rsidR="00112CEB" w:rsidRPr="00112CEB">
        <w:rPr>
          <w:i/>
        </w:rPr>
        <w:t xml:space="preserve">is weaker for firms </w:t>
      </w:r>
      <w:r w:rsidR="00112CEB">
        <w:rPr>
          <w:i/>
        </w:rPr>
        <w:t>that consummate</w:t>
      </w:r>
      <w:r w:rsidR="00112CEB" w:rsidRPr="00112CEB">
        <w:rPr>
          <w:i/>
        </w:rPr>
        <w:t xml:space="preserve"> pre-IPO foreign acquisitions.</w:t>
      </w:r>
    </w:p>
    <w:p w14:paraId="3DBE5243" w14:textId="01963197" w:rsidR="00FE5665" w:rsidRDefault="00FE5665">
      <w:pPr>
        <w:rPr>
          <w:rFonts w:eastAsiaTheme="minorHAnsi"/>
          <w:b/>
          <w:szCs w:val="22"/>
        </w:rPr>
      </w:pPr>
    </w:p>
    <w:p w14:paraId="2E1C9497" w14:textId="12A42223" w:rsidR="00FC633C" w:rsidRDefault="00FC633C" w:rsidP="00FC633C">
      <w:pPr>
        <w:pStyle w:val="Heading1"/>
      </w:pPr>
      <w:r w:rsidRPr="008C0F8A">
        <w:t>METHOD</w:t>
      </w:r>
      <w:r>
        <w:t>S</w:t>
      </w:r>
    </w:p>
    <w:p w14:paraId="197D4212" w14:textId="77777777" w:rsidR="00FC633C" w:rsidRDefault="00FC633C" w:rsidP="00FC633C">
      <w:pPr>
        <w:pStyle w:val="Heading2"/>
      </w:pPr>
      <w:r>
        <w:t>Research context: Digital ventures preparing for IPO</w:t>
      </w:r>
    </w:p>
    <w:p w14:paraId="122F7891" w14:textId="0F91AF48" w:rsidR="00112CEB" w:rsidRDefault="00112CEB" w:rsidP="00112CEB">
      <w:pPr>
        <w:spacing w:line="480" w:lineRule="auto"/>
        <w:ind w:firstLine="720"/>
        <w:jc w:val="both"/>
      </w:pPr>
      <w:r>
        <w:t xml:space="preserve">We test our </w:t>
      </w:r>
      <w:r w:rsidR="002872DE">
        <w:t xml:space="preserve">hypotheses </w:t>
      </w:r>
      <w:r>
        <w:t xml:space="preserve">in the context of US-based digital ventures that </w:t>
      </w:r>
      <w:r w:rsidR="000E1087">
        <w:t>completed</w:t>
      </w:r>
      <w:r>
        <w:t xml:space="preserve"> an IPO. The IPO context is suitable for several reasons. First, the IPO represents an important milestone in the evolution from entrepreneurial venture to mature company (</w:t>
      </w:r>
      <w:r w:rsidR="000D19D6">
        <w:t>Carpenter et al., 2003</w:t>
      </w:r>
      <w:r>
        <w:t>; Filatotchev &amp; Piesse, 2009). Thus, pre-IPO internationalization can be considered a marker of early internationalization (Carpenter et al., 2003). Second, ventures preparing for an IPO have strong financial incentives to show evidence of revenue-generating internationalization</w:t>
      </w:r>
      <w:r w:rsidR="009C5F73">
        <w:t>, which is</w:t>
      </w:r>
      <w:r>
        <w:t xml:space="preserve"> </w:t>
      </w:r>
      <w:r>
        <w:lastRenderedPageBreak/>
        <w:t>associated with reduced underpricing and higher IPO premiums (</w:t>
      </w:r>
      <w:bookmarkStart w:id="67" w:name="_Hlk89864524"/>
      <w:r>
        <w:t>Mauer et al., 2015</w:t>
      </w:r>
      <w:bookmarkEnd w:id="67"/>
      <w:r>
        <w:t>). Third, government-mandated disclosure requirements in the IPO process ensure complete and comparable data. IPOs represent an economically important subset of successful digital ventures. Studying IPOs allows us to complement extant research on early-stage startups and contribute to the establish</w:t>
      </w:r>
      <w:r w:rsidR="00E340DD">
        <w:t>ment of</w:t>
      </w:r>
      <w:r>
        <w:t xml:space="preserve"> an empirical baseline on the internationalization of digital firms (</w:t>
      </w:r>
      <w:bookmarkStart w:id="68" w:name="_Hlk89864531"/>
      <w:r>
        <w:t xml:space="preserve">Verbeke, </w:t>
      </w:r>
      <w:proofErr w:type="spellStart"/>
      <w:r>
        <w:t>Coeurderoi</w:t>
      </w:r>
      <w:proofErr w:type="spellEnd"/>
      <w:r>
        <w:t xml:space="preserve"> &amp; Matt, 2018</w:t>
      </w:r>
      <w:bookmarkEnd w:id="68"/>
      <w:r>
        <w:t>).</w:t>
      </w:r>
    </w:p>
    <w:p w14:paraId="47BA9E5A" w14:textId="77777777" w:rsidR="00FC633C" w:rsidRPr="000E28AB" w:rsidRDefault="00FC633C" w:rsidP="00FC633C">
      <w:pPr>
        <w:pStyle w:val="Heading2"/>
      </w:pPr>
      <w:r w:rsidRPr="000E28AB">
        <w:t>Sample</w:t>
      </w:r>
    </w:p>
    <w:p w14:paraId="55DF2E3C" w14:textId="6D27D52A" w:rsidR="00FC633C" w:rsidRDefault="00FC633C" w:rsidP="00E340DD">
      <w:pPr>
        <w:spacing w:line="480" w:lineRule="auto"/>
        <w:ind w:firstLine="720"/>
        <w:jc w:val="both"/>
      </w:pPr>
      <w:r>
        <w:t>W</w:t>
      </w:r>
      <w:r w:rsidRPr="008C0F8A">
        <w:t xml:space="preserve">e </w:t>
      </w:r>
      <w:r>
        <w:t>compiled</w:t>
      </w:r>
      <w:r w:rsidRPr="008C0F8A">
        <w:t xml:space="preserve"> a sample of US-based digital firms </w:t>
      </w:r>
      <w:r>
        <w:t>that completed an IPO during the decade from 2010 until the end of 2019</w:t>
      </w:r>
      <w:r w:rsidRPr="008C0F8A">
        <w:t xml:space="preserve">. </w:t>
      </w:r>
      <w:r w:rsidR="00A93098">
        <w:t>Using a single</w:t>
      </w:r>
      <w:r w:rsidRPr="008C0F8A">
        <w:t xml:space="preserve"> home country ensures uniform </w:t>
      </w:r>
      <w:r>
        <w:t>accounting</w:t>
      </w:r>
      <w:r w:rsidRPr="008C0F8A">
        <w:t xml:space="preserve"> standards</w:t>
      </w:r>
      <w:r>
        <w:t xml:space="preserve"> and</w:t>
      </w:r>
      <w:r w:rsidRPr="008C0F8A">
        <w:t xml:space="preserve"> keeps constant several potentially confounding drivers of internationalization, such as domestic </w:t>
      </w:r>
      <w:r>
        <w:t xml:space="preserve">institutions and </w:t>
      </w:r>
      <w:r w:rsidR="009C5F73">
        <w:t xml:space="preserve">domestic </w:t>
      </w:r>
      <w:r w:rsidRPr="008C0F8A">
        <w:t xml:space="preserve">market </w:t>
      </w:r>
      <w:r w:rsidR="009C5F73">
        <w:t>size.</w:t>
      </w:r>
      <w:r>
        <w:t xml:space="preserve"> Despite a growing </w:t>
      </w:r>
      <w:r w:rsidR="009C5F73">
        <w:t xml:space="preserve">scholarly </w:t>
      </w:r>
      <w:r>
        <w:t xml:space="preserve">interest in </w:t>
      </w:r>
      <w:r w:rsidRPr="008C0F8A">
        <w:t>digital firm</w:t>
      </w:r>
      <w:r>
        <w:t>s</w:t>
      </w:r>
      <w:r w:rsidRPr="008C0F8A">
        <w:t xml:space="preserve">, </w:t>
      </w:r>
      <w:r>
        <w:t xml:space="preserve">identifying </w:t>
      </w:r>
      <w:r w:rsidR="00A93098">
        <w:t>them in</w:t>
      </w:r>
      <w:r>
        <w:t xml:space="preserve"> empirical research remains a challenge.</w:t>
      </w:r>
      <w:r w:rsidRPr="008C0F8A">
        <w:t xml:space="preserve"> </w:t>
      </w:r>
      <w:r w:rsidR="00A93098">
        <w:t>C</w:t>
      </w:r>
      <w:r w:rsidRPr="008C0F8A">
        <w:t xml:space="preserve">onventional, large-N sampling </w:t>
      </w:r>
      <w:r>
        <w:t>procedures</w:t>
      </w:r>
      <w:r w:rsidRPr="008C0F8A">
        <w:t xml:space="preserve"> </w:t>
      </w:r>
      <w:r w:rsidR="00A93098">
        <w:t>using</w:t>
      </w:r>
      <w:r w:rsidRPr="008C0F8A">
        <w:t xml:space="preserve"> industry classifications </w:t>
      </w:r>
      <w:r w:rsidR="00A93098">
        <w:t xml:space="preserve">based on </w:t>
      </w:r>
      <w:r>
        <w:t>NAICS/</w:t>
      </w:r>
      <w:r w:rsidRPr="008C0F8A">
        <w:t xml:space="preserve">SIC codes </w:t>
      </w:r>
      <w:r w:rsidR="00A93098">
        <w:t>are not helpful,</w:t>
      </w:r>
      <w:r w:rsidRPr="008C0F8A">
        <w:t xml:space="preserve"> as </w:t>
      </w:r>
      <w:r>
        <w:t>digital firms often blur traditional industry boundaries</w:t>
      </w:r>
      <w:r w:rsidR="007A3700" w:rsidRPr="007A3700">
        <w:rPr>
          <w:vertAlign w:val="superscript"/>
        </w:rPr>
        <w:t>4</w:t>
      </w:r>
      <w:r>
        <w:t xml:space="preserve"> (Bharadwaj et al., 2013). </w:t>
      </w:r>
      <w:r w:rsidRPr="008C0F8A">
        <w:t xml:space="preserve">Instead, we adopted a two-step sampling approach </w:t>
      </w:r>
      <w:r>
        <w:t xml:space="preserve">that </w:t>
      </w:r>
      <w:r w:rsidRPr="008C0F8A">
        <w:t>combin</w:t>
      </w:r>
      <w:r>
        <w:t>es</w:t>
      </w:r>
      <w:r w:rsidRPr="008C0F8A">
        <w:t xml:space="preserve"> multiple data sources with manual vetting of potential sample firms. In the first step, we compiled a list of potentially relevant firms from three complementary sources. First, we collected IPO data from </w:t>
      </w:r>
      <w:r w:rsidRPr="008C0F8A">
        <w:rPr>
          <w:i/>
          <w:iCs/>
        </w:rPr>
        <w:t>Crunchbase</w:t>
      </w:r>
      <w:r w:rsidR="00450496">
        <w:t xml:space="preserve">, </w:t>
      </w:r>
      <w:r w:rsidRPr="008C0F8A">
        <w:t xml:space="preserve">a </w:t>
      </w:r>
      <w:r>
        <w:t xml:space="preserve">data provider specializing in </w:t>
      </w:r>
      <w:r w:rsidRPr="008C0F8A">
        <w:t xml:space="preserve">technology-oriented </w:t>
      </w:r>
      <w:r>
        <w:t xml:space="preserve">ventures </w:t>
      </w:r>
      <w:r w:rsidRPr="008C0F8A">
        <w:t>(</w:t>
      </w:r>
      <w:proofErr w:type="spellStart"/>
      <w:r>
        <w:t>Miric</w:t>
      </w:r>
      <w:proofErr w:type="spellEnd"/>
      <w:r>
        <w:t xml:space="preserve"> et al., 2021</w:t>
      </w:r>
      <w:r w:rsidRPr="008C0F8A">
        <w:t>)</w:t>
      </w:r>
      <w:r w:rsidR="00450496">
        <w:t xml:space="preserve">. We </w:t>
      </w:r>
      <w:r w:rsidRPr="008C0F8A">
        <w:t>extract</w:t>
      </w:r>
      <w:r w:rsidR="00450496">
        <w:t>ed</w:t>
      </w:r>
      <w:r w:rsidRPr="008C0F8A">
        <w:t xml:space="preserve"> IPOs</w:t>
      </w:r>
      <w:r>
        <w:t xml:space="preserve"> from </w:t>
      </w:r>
      <w:r w:rsidRPr="008C0F8A">
        <w:t xml:space="preserve">2010 </w:t>
      </w:r>
      <w:r>
        <w:t>to</w:t>
      </w:r>
      <w:r w:rsidRPr="008C0F8A">
        <w:t xml:space="preserve"> 2019</w:t>
      </w:r>
      <w:r w:rsidR="00E340DD">
        <w:t xml:space="preserve"> </w:t>
      </w:r>
      <w:r w:rsidR="00450496">
        <w:t>using</w:t>
      </w:r>
      <w:r w:rsidR="00E340DD">
        <w:t xml:space="preserve"> </w:t>
      </w:r>
      <w:r w:rsidRPr="008C0F8A">
        <w:t xml:space="preserve">industry filters </w:t>
      </w:r>
      <w:r w:rsidR="00450496">
        <w:t>and keywords</w:t>
      </w:r>
      <w:r w:rsidRPr="008C0F8A">
        <w:t xml:space="preserve"> </w:t>
      </w:r>
      <w:r w:rsidR="00E340DD">
        <w:t>for digital firms, such as</w:t>
      </w:r>
      <w:r w:rsidRPr="008C0F8A">
        <w:t xml:space="preserve"> SaaS, software, e-commerce, </w:t>
      </w:r>
      <w:r w:rsidR="00A93098">
        <w:t xml:space="preserve">and mobile </w:t>
      </w:r>
      <w:r w:rsidRPr="008C0F8A">
        <w:t xml:space="preserve">apps. Second, </w:t>
      </w:r>
      <w:r>
        <w:t xml:space="preserve">we identified additional </w:t>
      </w:r>
      <w:r w:rsidR="00450496">
        <w:t>IPOs</w:t>
      </w:r>
      <w:r>
        <w:t xml:space="preserve"> in</w:t>
      </w:r>
      <w:r w:rsidRPr="008C0F8A">
        <w:t xml:space="preserve"> the </w:t>
      </w:r>
      <w:r w:rsidRPr="008C0F8A">
        <w:rPr>
          <w:i/>
          <w:iCs/>
        </w:rPr>
        <w:t>PWC Global Technology IPO Review</w:t>
      </w:r>
      <w:r w:rsidR="00E340DD">
        <w:t>, which</w:t>
      </w:r>
      <w:r w:rsidRPr="008C0F8A">
        <w:t xml:space="preserve"> </w:t>
      </w:r>
      <w:r w:rsidR="00450496">
        <w:t>provides a comprehensive listing of</w:t>
      </w:r>
      <w:r w:rsidRPr="008C0F8A">
        <w:t xml:space="preserve"> </w:t>
      </w:r>
      <w:r w:rsidR="00450496">
        <w:t xml:space="preserve">“tech” </w:t>
      </w:r>
      <w:r w:rsidRPr="008C0F8A">
        <w:t>IPO</w:t>
      </w:r>
      <w:r>
        <w:t>s</w:t>
      </w:r>
      <w:r w:rsidRPr="008C0F8A">
        <w:t xml:space="preserve">. We extracted IPOs of US-based firms that PWC classified as operating in the </w:t>
      </w:r>
      <w:r w:rsidR="00450496">
        <w:t>subsectors “</w:t>
      </w:r>
      <w:r w:rsidRPr="008C0F8A">
        <w:t>internet software and services</w:t>
      </w:r>
      <w:r w:rsidR="00450496">
        <w:t xml:space="preserve">” and </w:t>
      </w:r>
      <w:r w:rsidR="00450496">
        <w:lastRenderedPageBreak/>
        <w:t>“</w:t>
      </w:r>
      <w:r w:rsidRPr="008C0F8A">
        <w:t>software</w:t>
      </w:r>
      <w:r w:rsidR="00450496">
        <w:t>”</w:t>
      </w:r>
      <w:r w:rsidRPr="008C0F8A">
        <w:t xml:space="preserve">. Third, we </w:t>
      </w:r>
      <w:r>
        <w:t>cross-referenced</w:t>
      </w:r>
      <w:r w:rsidRPr="008C0F8A">
        <w:t xml:space="preserve"> our database against Jay Ritter’s</w:t>
      </w:r>
      <w:r w:rsidRPr="008C0F8A">
        <w:rPr>
          <w:i/>
          <w:iCs/>
        </w:rPr>
        <w:t xml:space="preserve"> Listing of Internet IPOs</w:t>
      </w:r>
      <w:r w:rsidRPr="008C0F8A">
        <w:t xml:space="preserve"> to identify </w:t>
      </w:r>
      <w:r w:rsidR="00CE4754">
        <w:t>additional</w:t>
      </w:r>
      <w:r w:rsidRPr="008C0F8A">
        <w:t xml:space="preserve"> firms.</w:t>
      </w:r>
    </w:p>
    <w:p w14:paraId="6DFD98DF" w14:textId="200C808A" w:rsidR="00FC633C" w:rsidRDefault="00FC633C" w:rsidP="00FC633C">
      <w:pPr>
        <w:spacing w:line="480" w:lineRule="auto"/>
        <w:ind w:firstLine="720"/>
        <w:jc w:val="both"/>
      </w:pPr>
      <w:r w:rsidRPr="008C0F8A">
        <w:t xml:space="preserve">Having compiled a preliminary list of 349 firms, the second step </w:t>
      </w:r>
      <w:r>
        <w:t>involved</w:t>
      </w:r>
      <w:r w:rsidRPr="008C0F8A">
        <w:t xml:space="preserve"> manually review</w:t>
      </w:r>
      <w:r>
        <w:t>ing</w:t>
      </w:r>
      <w:r w:rsidRPr="008C0F8A">
        <w:t xml:space="preserve"> each firm and exclud</w:t>
      </w:r>
      <w:r>
        <w:t>ing</w:t>
      </w:r>
      <w:r w:rsidRPr="008C0F8A">
        <w:t xml:space="preserve"> those not meeting </w:t>
      </w:r>
      <w:r>
        <w:t>Monaghan et al.’s (2019)</w:t>
      </w:r>
      <w:r w:rsidRPr="008478F8">
        <w:t xml:space="preserve"> definition of digital firms</w:t>
      </w:r>
      <w:r>
        <w:t xml:space="preserve"> (i.e.</w:t>
      </w:r>
      <w:r w:rsidR="00CE4754">
        <w:t>,</w:t>
      </w:r>
      <w:r>
        <w:t xml:space="preserve"> firms that produce intangible digital products which can be distributed through digital channels)</w:t>
      </w:r>
      <w:r w:rsidRPr="008478F8">
        <w:t xml:space="preserve">. We obtained descriptions of each firm’s primary business activities from </w:t>
      </w:r>
      <w:r w:rsidRPr="008478F8">
        <w:rPr>
          <w:i/>
          <w:iCs/>
        </w:rPr>
        <w:t>Crunchbase</w:t>
      </w:r>
      <w:r w:rsidR="00801437">
        <w:rPr>
          <w:i/>
          <w:iCs/>
        </w:rPr>
        <w:t>,</w:t>
      </w:r>
      <w:r w:rsidRPr="008478F8">
        <w:rPr>
          <w:i/>
          <w:iCs/>
        </w:rPr>
        <w:t xml:space="preserve"> Capital IQ</w:t>
      </w:r>
      <w:r w:rsidR="00801437">
        <w:rPr>
          <w:i/>
          <w:iCs/>
        </w:rPr>
        <w:t>,</w:t>
      </w:r>
      <w:r w:rsidRPr="008478F8">
        <w:t xml:space="preserve"> and</w:t>
      </w:r>
      <w:r w:rsidR="00801437">
        <w:t xml:space="preserve"> </w:t>
      </w:r>
      <w:r w:rsidRPr="008C0F8A">
        <w:t>S-1</w:t>
      </w:r>
      <w:r>
        <w:t xml:space="preserve"> filings. </w:t>
      </w:r>
      <w:r w:rsidR="00801437">
        <w:t>W</w:t>
      </w:r>
      <w:r w:rsidRPr="008C0F8A">
        <w:t xml:space="preserve">e excluded firms founded before 2000 </w:t>
      </w:r>
      <w:r>
        <w:t>(</w:t>
      </w:r>
      <w:proofErr w:type="spellStart"/>
      <w:r>
        <w:t>Miric</w:t>
      </w:r>
      <w:proofErr w:type="spellEnd"/>
      <w:r>
        <w:t xml:space="preserve"> et al., 2021)</w:t>
      </w:r>
      <w:r w:rsidR="00F91A2E">
        <w:t xml:space="preserve">, </w:t>
      </w:r>
      <w:r w:rsidRPr="008C0F8A">
        <w:t>spinoffs</w:t>
      </w:r>
      <w:r w:rsidR="009A3E5C">
        <w:t>,</w:t>
      </w:r>
      <w:r>
        <w:t xml:space="preserve"> </w:t>
      </w:r>
      <w:r w:rsidR="00801437">
        <w:t>and</w:t>
      </w:r>
      <w:r w:rsidRPr="008C0F8A">
        <w:t xml:space="preserve"> firms for which essential data was not available. </w:t>
      </w:r>
      <w:r w:rsidR="00F91A2E">
        <w:t>F</w:t>
      </w:r>
      <w:r w:rsidRPr="008C0F8A">
        <w:t xml:space="preserve">irm-level data, including data on foreign </w:t>
      </w:r>
      <w:r>
        <w:t>revenue</w:t>
      </w:r>
      <w:r w:rsidRPr="008C0F8A">
        <w:t xml:space="preserve">, </w:t>
      </w:r>
      <w:r w:rsidR="00F91A2E">
        <w:t xml:space="preserve">was </w:t>
      </w:r>
      <w:r w:rsidR="00355099">
        <w:t>pulled</w:t>
      </w:r>
      <w:r w:rsidR="00F91A2E">
        <w:t xml:space="preserve"> </w:t>
      </w:r>
      <w:r w:rsidRPr="008C0F8A">
        <w:t>from Capital IQ, Crunchbase, SDC, annual reports</w:t>
      </w:r>
      <w:r>
        <w:t xml:space="preserve"> and S-1 filings</w:t>
      </w:r>
      <w:r w:rsidRPr="008C0F8A">
        <w:t>.</w:t>
      </w:r>
      <w:r>
        <w:t xml:space="preserve"> </w:t>
      </w:r>
    </w:p>
    <w:p w14:paraId="34DEA47D" w14:textId="581F9D25" w:rsidR="00FC633C" w:rsidRPr="008C0F8A" w:rsidRDefault="00FC633C" w:rsidP="00FC633C">
      <w:pPr>
        <w:spacing w:line="480" w:lineRule="auto"/>
        <w:ind w:firstLine="720"/>
        <w:jc w:val="both"/>
      </w:pPr>
      <w:bookmarkStart w:id="69" w:name="_Hlk89678738"/>
      <w:r w:rsidRPr="008C0F8A">
        <w:t xml:space="preserve">Our final sample </w:t>
      </w:r>
      <w:r w:rsidR="002C5866" w:rsidRPr="008C0F8A">
        <w:t>consist</w:t>
      </w:r>
      <w:r w:rsidR="002C5866">
        <w:t>ed</w:t>
      </w:r>
      <w:r w:rsidR="002C5866" w:rsidRPr="008C0F8A">
        <w:t xml:space="preserve"> </w:t>
      </w:r>
      <w:r w:rsidRPr="008C0F8A">
        <w:t xml:space="preserve">of </w:t>
      </w:r>
      <w:r>
        <w:t>169</w:t>
      </w:r>
      <w:r w:rsidRPr="008C0F8A">
        <w:t xml:space="preserve"> firms, including well-known companies like Snap, Etsy Pinterest, Slack, and Zoom. </w:t>
      </w:r>
      <w:r w:rsidR="00F10B1F">
        <w:t>The size of the sample firms varied considerably, including both smaller startups and relatively large firms. However,</w:t>
      </w:r>
      <w:r w:rsidR="007F415A">
        <w:t xml:space="preserve"> the majority of firms was medium-sized, with the median firm reporting 484 employees (mean 1002, standard deviation 2266) and $96 million in revenue (mean </w:t>
      </w:r>
      <w:r w:rsidR="00F10B1F">
        <w:t>$305</w:t>
      </w:r>
      <w:r w:rsidR="004867A5">
        <w:t>MM</w:t>
      </w:r>
      <w:r w:rsidR="00F10B1F">
        <w:t>, standard deviation $973</w:t>
      </w:r>
      <w:r w:rsidR="004867A5">
        <w:t>MM</w:t>
      </w:r>
      <w:r w:rsidR="00F10B1F">
        <w:t>)</w:t>
      </w:r>
      <w:r w:rsidR="007F415A">
        <w:t xml:space="preserve"> in</w:t>
      </w:r>
      <w:r w:rsidR="002C5866">
        <w:t xml:space="preserve"> </w:t>
      </w:r>
      <w:r>
        <w:t>the year prior to IPO</w:t>
      </w:r>
      <w:r w:rsidR="009A3E5C">
        <w:t>.</w:t>
      </w:r>
      <w:r w:rsidR="00F10B1F">
        <w:t xml:space="preserve"> </w:t>
      </w:r>
      <w:r w:rsidR="008344FD">
        <w:t>The median firm age at IPO was 9 years.</w:t>
      </w:r>
    </w:p>
    <w:bookmarkEnd w:id="69"/>
    <w:p w14:paraId="5C592474" w14:textId="146E008E" w:rsidR="00FC633C" w:rsidRPr="000E28AB" w:rsidRDefault="00FC633C" w:rsidP="00FC633C">
      <w:pPr>
        <w:pStyle w:val="Heading2"/>
      </w:pPr>
      <w:r w:rsidRPr="000E28AB">
        <w:t>Dependent Variable</w:t>
      </w:r>
    </w:p>
    <w:p w14:paraId="62D85632" w14:textId="273C67B3" w:rsidR="00FC633C" w:rsidRPr="008C0F8A" w:rsidRDefault="00FC633C" w:rsidP="00FC633C">
      <w:pPr>
        <w:spacing w:line="480" w:lineRule="auto"/>
        <w:ind w:firstLine="720"/>
        <w:jc w:val="both"/>
      </w:pPr>
      <w:r w:rsidRPr="008C0F8A">
        <w:t>The dependent variable is the foreign-sales-to-total-sales ratio (FSTS) in the year prior to IPO.</w:t>
      </w:r>
      <w:r>
        <w:t xml:space="preserve"> </w:t>
      </w:r>
      <w:r w:rsidR="00801437">
        <w:t>Recent studies</w:t>
      </w:r>
      <w:r>
        <w:t xml:space="preserve"> </w:t>
      </w:r>
      <w:r w:rsidR="00581CF7">
        <w:t>on</w:t>
      </w:r>
      <w:r>
        <w:t xml:space="preserve"> digitalization have employed a range of different measures to assess market penetration, often based on user numbers (e.g.</w:t>
      </w:r>
      <w:r w:rsidR="007E1CD7">
        <w:t>,</w:t>
      </w:r>
      <w:r>
        <w:t xml:space="preserve"> Chen et al., 2019; </w:t>
      </w:r>
      <w:proofErr w:type="spellStart"/>
      <w:r>
        <w:t>Shaheer</w:t>
      </w:r>
      <w:proofErr w:type="spellEnd"/>
      <w:r>
        <w:t xml:space="preserve"> &amp; Li, 2020). </w:t>
      </w:r>
      <w:r w:rsidR="00581CF7">
        <w:t>While</w:t>
      </w:r>
      <w:r>
        <w:t xml:space="preserve"> non-financial metrics are </w:t>
      </w:r>
      <w:r w:rsidR="002D0AB5">
        <w:t>valuable</w:t>
      </w:r>
      <w:r>
        <w:t xml:space="preserve"> for understanding early digital venture emergence</w:t>
      </w:r>
      <w:r w:rsidR="002D0AB5">
        <w:t xml:space="preserve">, </w:t>
      </w:r>
      <w:r w:rsidR="00581CF7">
        <w:t xml:space="preserve">they </w:t>
      </w:r>
      <w:r>
        <w:t xml:space="preserve">stop short of measuring a firm’s ability to </w:t>
      </w:r>
      <w:r w:rsidRPr="007E1CD7">
        <w:rPr>
          <w:i/>
          <w:iCs/>
        </w:rPr>
        <w:t>capture</w:t>
      </w:r>
      <w:r>
        <w:t xml:space="preserve"> value from its international activities. Especially in the context of maturing digital firms preparing for IPO, the ability to generate </w:t>
      </w:r>
      <w:r w:rsidRPr="002B340F">
        <w:rPr>
          <w:i/>
          <w:iCs/>
        </w:rPr>
        <w:t>revenue</w:t>
      </w:r>
      <w:r>
        <w:t xml:space="preserve"> from foreign markets is an important dimension of internationalization and a crucial IPO-related signal of firm </w:t>
      </w:r>
      <w:r>
        <w:lastRenderedPageBreak/>
        <w:t>value (Mauer et al., 2015).</w:t>
      </w:r>
      <w:r w:rsidRPr="008C0F8A">
        <w:t xml:space="preserve"> FSTS has been </w:t>
      </w:r>
      <w:r w:rsidR="00F76C57">
        <w:t xml:space="preserve">widely </w:t>
      </w:r>
      <w:r w:rsidRPr="008C0F8A">
        <w:t xml:space="preserve">used to measure firms’ overall degree of internationalization (Carpenter et al., 2003; </w:t>
      </w:r>
      <w:bookmarkStart w:id="70" w:name="_Hlk89864594"/>
      <w:r w:rsidR="00990A9D">
        <w:t>Crick &amp; Crick, 2014</w:t>
      </w:r>
      <w:bookmarkEnd w:id="70"/>
      <w:r w:rsidRPr="008C0F8A">
        <w:t>).</w:t>
      </w:r>
      <w:r>
        <w:t xml:space="preserve"> While it is not without limitations, its pervasive use ensures comparability across studies.</w:t>
      </w:r>
      <w:r w:rsidRPr="008C0F8A">
        <w:t xml:space="preserve"> </w:t>
      </w:r>
      <w:r>
        <w:t xml:space="preserve">FSTS </w:t>
      </w:r>
      <w:r w:rsidRPr="008C0F8A">
        <w:t xml:space="preserve">is a proportional dependent variable </w:t>
      </w:r>
      <w:r>
        <w:t xml:space="preserve">with potential values ranging from </w:t>
      </w:r>
      <w:r w:rsidR="00355099">
        <w:t>0</w:t>
      </w:r>
      <w:r w:rsidRPr="008C0F8A">
        <w:t xml:space="preserve"> </w:t>
      </w:r>
      <w:r>
        <w:t>(</w:t>
      </w:r>
      <w:proofErr w:type="gramStart"/>
      <w:r>
        <w:t>i.e.</w:t>
      </w:r>
      <w:proofErr w:type="gramEnd"/>
      <w:r>
        <w:t xml:space="preserve"> 0% of revenue from international sales) to </w:t>
      </w:r>
      <w:r w:rsidR="00355099">
        <w:t>1</w:t>
      </w:r>
      <w:r>
        <w:t xml:space="preserve"> (i.e. 100% of revenue from international sales).</w:t>
      </w:r>
    </w:p>
    <w:p w14:paraId="206FB720" w14:textId="77777777" w:rsidR="00FC633C" w:rsidRPr="000E28AB" w:rsidRDefault="00FC633C" w:rsidP="00FC633C">
      <w:pPr>
        <w:pStyle w:val="Heading2"/>
      </w:pPr>
      <w:r w:rsidRPr="000E28AB">
        <w:t>Independent Variables</w:t>
      </w:r>
    </w:p>
    <w:p w14:paraId="78D0FCDF" w14:textId="21FC21CF" w:rsidR="00FC633C" w:rsidRDefault="00FC633C" w:rsidP="00FC633C">
      <w:pPr>
        <w:spacing w:line="480" w:lineRule="auto"/>
        <w:ind w:firstLine="720"/>
        <w:jc w:val="both"/>
      </w:pPr>
      <w:r w:rsidRPr="000E28AB">
        <w:rPr>
          <w:b/>
        </w:rPr>
        <w:t>Consumers versus businesses</w:t>
      </w:r>
      <w:r>
        <w:t xml:space="preserve">. The focal predictor for Hypotheses 1a and 1b is a dichotomous indicator of whether a firm </w:t>
      </w:r>
      <w:r w:rsidR="002D0AB5">
        <w:t>operates in the</w:t>
      </w:r>
      <w:r w:rsidR="00C52FB0">
        <w:t xml:space="preserve"> </w:t>
      </w:r>
      <w:r>
        <w:rPr>
          <w:i/>
          <w:iCs/>
        </w:rPr>
        <w:t>B2C</w:t>
      </w:r>
      <w:r w:rsidR="002D0AB5">
        <w:rPr>
          <w:i/>
          <w:iCs/>
        </w:rPr>
        <w:t xml:space="preserve"> </w:t>
      </w:r>
      <w:r w:rsidR="002D0AB5">
        <w:t>market</w:t>
      </w:r>
      <w:r>
        <w:t xml:space="preserve">. Based on the business descriptions from Capital IQ, Crunchbase, and S-1 </w:t>
      </w:r>
      <w:r w:rsidR="00E340DD">
        <w:t>filings</w:t>
      </w:r>
      <w:r>
        <w:t xml:space="preserve">, we coded firms as </w:t>
      </w:r>
      <w:r w:rsidRPr="002E3573">
        <w:rPr>
          <w:i/>
          <w:iCs/>
        </w:rPr>
        <w:t>B2C</w:t>
      </w:r>
      <w:r>
        <w:t xml:space="preserve"> if they market their product directly to retail consumers</w:t>
      </w:r>
      <w:r w:rsidR="00257167">
        <w:t xml:space="preserve"> and B2B otherwise</w:t>
      </w:r>
      <w:r>
        <w:t xml:space="preserve"> (</w:t>
      </w:r>
      <w:bookmarkStart w:id="71" w:name="_Hlk89864762"/>
      <w:r>
        <w:t>Matthews et al., 2018</w:t>
      </w:r>
      <w:r w:rsidR="00E81CD7">
        <w:t xml:space="preserve">; </w:t>
      </w:r>
      <w:bookmarkEnd w:id="71"/>
      <w:proofErr w:type="spellStart"/>
      <w:r w:rsidR="00E81CD7">
        <w:t>Sraha</w:t>
      </w:r>
      <w:proofErr w:type="spellEnd"/>
      <w:r w:rsidR="00E81CD7">
        <w:t xml:space="preserve"> et al., 2020</w:t>
      </w:r>
      <w:r>
        <w:t xml:space="preserve">). Some digital firms serve both B2C and B2B customers through multisided business models, offering free products to consumers but generating revenue from the B2B side (Stallkamp &amp; Schotter, 2021). We coded these cases as B2C because their business model </w:t>
      </w:r>
      <w:r w:rsidR="00B048B3">
        <w:t>critically depends on</w:t>
      </w:r>
      <w:r>
        <w:t xml:space="preserve"> attract</w:t>
      </w:r>
      <w:r w:rsidR="00B048B3">
        <w:t>ing</w:t>
      </w:r>
      <w:r>
        <w:t xml:space="preserve"> end-users and is therefore likely affected by cross-border demand heterogeneity among consumers.</w:t>
      </w:r>
    </w:p>
    <w:p w14:paraId="0481E456" w14:textId="7D9E4262" w:rsidR="00FC633C" w:rsidRDefault="00FC633C" w:rsidP="00FC633C">
      <w:pPr>
        <w:spacing w:line="480" w:lineRule="auto"/>
        <w:ind w:firstLine="720"/>
        <w:jc w:val="both"/>
      </w:pPr>
      <w:r w:rsidRPr="000E28AB">
        <w:rPr>
          <w:b/>
        </w:rPr>
        <w:t>Degree of digitalization</w:t>
      </w:r>
      <w:r>
        <w:t xml:space="preserve">. With Hypotheses 2a and 2b, we argue that the degree to which a firm principally </w:t>
      </w:r>
      <w:r w:rsidR="00D65E6A">
        <w:t xml:space="preserve">relies </w:t>
      </w:r>
      <w:r>
        <w:t xml:space="preserve">upon digitalized resources is an important determinant of internationalization. Although scholars have recognized that digitalization has not uniformly affected all firms, </w:t>
      </w:r>
      <w:r w:rsidRPr="00B25E99">
        <w:rPr>
          <w:i/>
          <w:iCs/>
        </w:rPr>
        <w:t>measuring</w:t>
      </w:r>
      <w:r>
        <w:t xml:space="preserve"> the degree of digitalization for quantitative studies remains a challenge (</w:t>
      </w:r>
      <w:bookmarkStart w:id="72" w:name="_Hlk89864772"/>
      <w:proofErr w:type="spellStart"/>
      <w:r>
        <w:t>Vadana</w:t>
      </w:r>
      <w:proofErr w:type="spellEnd"/>
      <w:r>
        <w:t xml:space="preserve"> et al., 2019</w:t>
      </w:r>
      <w:bookmarkEnd w:id="72"/>
      <w:r>
        <w:t xml:space="preserve">). One approach would be to conduct an in-depth, qualitative assessment of each sample firm in order to obtain a complete picture of its digitalization. While useful in small-N studies, such qualitative coding would severely limit the sample size and the comparability across different studies. </w:t>
      </w:r>
    </w:p>
    <w:p w14:paraId="06216B52" w14:textId="29345B57" w:rsidR="00FC633C" w:rsidRDefault="00FC633C" w:rsidP="00FC633C">
      <w:pPr>
        <w:spacing w:line="480" w:lineRule="auto"/>
        <w:ind w:firstLine="720"/>
        <w:jc w:val="both"/>
      </w:pPr>
      <w:r>
        <w:lastRenderedPageBreak/>
        <w:t xml:space="preserve">As a practical and robust alternative, we propose that </w:t>
      </w:r>
      <w:r>
        <w:rPr>
          <w:i/>
          <w:iCs/>
        </w:rPr>
        <w:t>gross margin</w:t>
      </w:r>
      <w:r>
        <w:t xml:space="preserve"> is an effective proxy measure for larger-sample studies. As noted above, firms that are highly digitalized typically enjoy high gross margins because they have automated most business activities related to the sale of their products (Chalmers et al., 2020), while variable costs associated with the “production” of their digital products are minimal (Shapiro &amp; Varian, 199</w:t>
      </w:r>
      <w:r w:rsidR="00FC7F0A">
        <w:t>9</w:t>
      </w:r>
      <w:r>
        <w:t xml:space="preserve">). </w:t>
      </w:r>
      <w:r w:rsidR="002D0AB5">
        <w:t>This suggests that</w:t>
      </w:r>
      <w:r>
        <w:t xml:space="preserve"> gross margins </w:t>
      </w:r>
      <w:r w:rsidR="002D0AB5">
        <w:t xml:space="preserve">can be </w:t>
      </w:r>
      <w:r>
        <w:t xml:space="preserve">a useful proxy for a firm’s relative level of non-digital complementary resources that must be sourced and deployed to service a firm’s customers. </w:t>
      </w:r>
    </w:p>
    <w:p w14:paraId="4B1EE57B" w14:textId="3D0F59B5" w:rsidR="00FC633C" w:rsidRDefault="0036475C" w:rsidP="00FC633C">
      <w:pPr>
        <w:spacing w:line="480" w:lineRule="auto"/>
        <w:ind w:firstLine="720"/>
        <w:jc w:val="both"/>
      </w:pPr>
      <w:r>
        <w:t>T</w:t>
      </w:r>
      <w:r w:rsidR="00E5507C">
        <w:t>his link between gross margins and the extent of digitalization of a venture’s business model</w:t>
      </w:r>
      <w:r>
        <w:t xml:space="preserve"> is well known among practitioners</w:t>
      </w:r>
      <w:r w:rsidR="00E5507C">
        <w:t xml:space="preserve">. For instance, venture capitalists Reid Hoffman and Chris Yeh (2018: 81-82) argue that </w:t>
      </w:r>
      <w:r w:rsidR="00FC633C">
        <w:t xml:space="preserve">high gross margins </w:t>
      </w:r>
      <w:r w:rsidR="00E5507C">
        <w:t xml:space="preserve">are </w:t>
      </w:r>
      <w:r w:rsidR="00FC633C">
        <w:t xml:space="preserve">a reliable indicator of highly digitalized businesses. </w:t>
      </w:r>
      <w:r w:rsidR="00E5507C">
        <w:t>P</w:t>
      </w:r>
      <w:r w:rsidR="00FC633C">
        <w:t>ure software firms can theoretically achieve gross margins approaching 100 percent, as development costs are fixed and marginal costs approach zero (Shapiro &amp; Varian, 199</w:t>
      </w:r>
      <w:r w:rsidR="00FC7F0A">
        <w:t>9</w:t>
      </w:r>
      <w:r w:rsidR="00FC633C">
        <w:t>). But as digital firms have expanded beyond pure software and increasingly interface with the physical world (Bharadwaj et al., 2013), a stratification of gross margins has occurred. Venture capitalist David Sacks (2019) explains:</w:t>
      </w:r>
    </w:p>
    <w:p w14:paraId="7B567E77" w14:textId="77777777" w:rsidR="00FC633C" w:rsidRDefault="00FC633C" w:rsidP="00FC633C">
      <w:pPr>
        <w:ind w:left="720" w:right="720" w:hanging="90"/>
        <w:jc w:val="both"/>
      </w:pPr>
      <w:r w:rsidRPr="00986D8F">
        <w:t>“</w:t>
      </w:r>
      <w:r>
        <w:t>W</w:t>
      </w:r>
      <w:r w:rsidRPr="00986D8F">
        <w:t>hen software started eating the world, everything changed. Software was just one component of the service being offered. Software might be the disruptive element but it wasn’t the source of unit economics. These new “tech-enabled” businesses had major COGS</w:t>
      </w:r>
      <w:r>
        <w:t xml:space="preserve"> [Cost of Goods Sold]</w:t>
      </w:r>
      <w:r w:rsidRPr="00986D8F">
        <w:t xml:space="preserve"> (</w:t>
      </w:r>
      <w:proofErr w:type="gramStart"/>
      <w:r w:rsidRPr="00986D8F">
        <w:t>e.g.</w:t>
      </w:r>
      <w:proofErr w:type="gramEnd"/>
      <w:r w:rsidRPr="00986D8F">
        <w:t xml:space="preserve"> leases at </w:t>
      </w:r>
      <w:proofErr w:type="spellStart"/>
      <w:r w:rsidRPr="00986D8F">
        <w:t>WeWork</w:t>
      </w:r>
      <w:proofErr w:type="spellEnd"/>
      <w:r w:rsidRPr="00986D8F">
        <w:t>; drivers at Uber)</w:t>
      </w:r>
      <w:r>
        <w:t>.</w:t>
      </w:r>
      <w:r w:rsidRPr="00986D8F">
        <w:t>”</w:t>
      </w:r>
    </w:p>
    <w:p w14:paraId="403E92D1" w14:textId="77777777" w:rsidR="00FC633C" w:rsidRPr="008B737A" w:rsidRDefault="00FC633C" w:rsidP="00FC633C">
      <w:pPr>
        <w:ind w:left="720"/>
      </w:pPr>
    </w:p>
    <w:p w14:paraId="3B9331DE" w14:textId="4B83D14E" w:rsidR="00FC633C" w:rsidRDefault="00FC633C" w:rsidP="00FC633C">
      <w:pPr>
        <w:spacing w:line="480" w:lineRule="auto"/>
        <w:ind w:firstLine="720"/>
        <w:jc w:val="both"/>
      </w:pPr>
      <w:r>
        <w:t xml:space="preserve">Thus, </w:t>
      </w:r>
      <w:r w:rsidR="00E5507C">
        <w:t xml:space="preserve">the most </w:t>
      </w:r>
      <w:r>
        <w:t xml:space="preserve">highly digitalized ventures “tend to be high-gross-margin businesses because they have fewer variable costs” (Hoffman &amp; Yeh, 2018: 82), whereas digital firms relying more on human labor, non-digital </w:t>
      </w:r>
      <w:r w:rsidR="00E5507C">
        <w:t xml:space="preserve">business </w:t>
      </w:r>
      <w:r>
        <w:t>processes, and interactions with the physical world generate systematically lower margins</w:t>
      </w:r>
      <w:r w:rsidR="00E5507C">
        <w:t xml:space="preserve"> (Chalmers et al., 2020)</w:t>
      </w:r>
      <w:r>
        <w:t xml:space="preserve">. In our sample, firms with the highest gross margins (in some cases exceeding 0.90) include highly digitalized firms such as the </w:t>
      </w:r>
      <w:r w:rsidR="00096DC3">
        <w:t xml:space="preserve">analytics </w:t>
      </w:r>
      <w:r>
        <w:t xml:space="preserve">software company Tableau and online information aggregators such as Yelp, Kayak, and </w:t>
      </w:r>
      <w:r>
        <w:lastRenderedPageBreak/>
        <w:t xml:space="preserve">TripAdvisor. Firms with lower gross margins tend to have substantial service components and more interactions with the physical world, for example healthcare analytics company Tabula Rasa (0.30) and ride-hailing platform Uber (0.37). </w:t>
      </w:r>
    </w:p>
    <w:p w14:paraId="18ECF89A" w14:textId="4C1EE1AA" w:rsidR="00FC633C" w:rsidRPr="00303B8D" w:rsidRDefault="00FC633C" w:rsidP="00FC633C">
      <w:pPr>
        <w:spacing w:line="480" w:lineRule="auto"/>
        <w:ind w:firstLine="720"/>
        <w:jc w:val="both"/>
        <w:rPr>
          <w:i/>
          <w:iCs/>
        </w:rPr>
      </w:pPr>
      <w:r>
        <w:t xml:space="preserve">To confirm that gross margins are indeed a </w:t>
      </w:r>
      <w:r w:rsidR="002C2315">
        <w:t>reasonable</w:t>
      </w:r>
      <w:r>
        <w:t xml:space="preserve"> proxy for the degree of digitalization, we tested its consistency with manual qualitative coding. After randomly extracting 40 firms from the sample, two authors independently reviewed financial and business model information from the companies’ S-1 filings and categorized each firm as having a “higher” or “lower” degree of digitalization. Inter-rater reliability was 90 percent (36 out of 40 firms); and discrepancies were </w:t>
      </w:r>
      <w:r w:rsidRPr="00FA6A1A">
        <w:rPr>
          <w:iCs/>
        </w:rPr>
        <w:t>resolved</w:t>
      </w:r>
      <w:r>
        <w:t xml:space="preserve"> by consensus after discussion. We then extracted the gross margins for these companies from our database and calculated the mean for each group (0.79 for highly digitalized firms and 0.38 for less digitalized firms), which were significantly different (</w:t>
      </w:r>
      <w:r w:rsidRPr="00342971">
        <w:rPr>
          <w:iCs/>
        </w:rPr>
        <w:t>p&lt;.</w:t>
      </w:r>
      <w:r>
        <w:t xml:space="preserve">00001). This indicates that </w:t>
      </w:r>
      <w:r w:rsidRPr="00F36321">
        <w:rPr>
          <w:i/>
          <w:iCs/>
        </w:rPr>
        <w:t>gross margin</w:t>
      </w:r>
      <w:r>
        <w:t xml:space="preserve"> is a reliable proxy, as it captures meaningful variation in digitalization and is consistent with qualitative coding. Using gross margins rather than qualitative, researcher-based evaluative coding has several advantages. First,</w:t>
      </w:r>
      <w:r w:rsidRPr="00FB1ACD">
        <w:t xml:space="preserve"> it can be used in studies</w:t>
      </w:r>
      <w:r w:rsidR="002C2315">
        <w:t xml:space="preserve"> with larger samples</w:t>
      </w:r>
      <w:r>
        <w:t>. Second,</w:t>
      </w:r>
      <w:r w:rsidRPr="00FB1ACD">
        <w:t xml:space="preserve"> it </w:t>
      </w:r>
      <w:r>
        <w:t>is</w:t>
      </w:r>
      <w:r w:rsidRPr="00FB1ACD">
        <w:t xml:space="preserve"> a continuous measure, rather than </w:t>
      </w:r>
      <w:r>
        <w:t xml:space="preserve">one based on </w:t>
      </w:r>
      <w:r w:rsidRPr="00FB1ACD">
        <w:t>coarse-grained categorization</w:t>
      </w:r>
      <w:r>
        <w:t xml:space="preserve">. Finally, </w:t>
      </w:r>
      <w:r w:rsidRPr="00FB1ACD">
        <w:t>it provides a degree of comparability</w:t>
      </w:r>
      <w:r w:rsidR="007F4754">
        <w:t xml:space="preserve"> and replicability</w:t>
      </w:r>
      <w:r w:rsidRPr="00FB1ACD">
        <w:t xml:space="preserve"> across studies</w:t>
      </w:r>
      <w:r>
        <w:t xml:space="preserve">. </w:t>
      </w:r>
    </w:p>
    <w:p w14:paraId="5609F573" w14:textId="77777777" w:rsidR="00FC633C" w:rsidRDefault="00FC633C" w:rsidP="00FC633C">
      <w:pPr>
        <w:spacing w:line="480" w:lineRule="auto"/>
        <w:ind w:firstLine="720"/>
        <w:jc w:val="both"/>
      </w:pPr>
      <w:r>
        <w:t xml:space="preserve">We measure each company’s </w:t>
      </w:r>
      <w:r w:rsidRPr="0070385C">
        <w:rPr>
          <w:i/>
          <w:iCs/>
        </w:rPr>
        <w:t>gross margin</w:t>
      </w:r>
      <w:r>
        <w:t xml:space="preserve"> in the year prior to IPO. We express </w:t>
      </w:r>
      <w:r>
        <w:rPr>
          <w:i/>
          <w:iCs/>
        </w:rPr>
        <w:t>gross margin</w:t>
      </w:r>
      <w:r>
        <w:t xml:space="preserve"> as a fraction (rather than a percentage) to be consistent with the dependent variable FSTS, which is measured on a scale from 0 to 1.</w:t>
      </w:r>
    </w:p>
    <w:p w14:paraId="571A1DE2" w14:textId="566AA725" w:rsidR="00FC633C" w:rsidRPr="006F3FA7" w:rsidRDefault="00FC633C" w:rsidP="00FC633C">
      <w:pPr>
        <w:spacing w:line="480" w:lineRule="auto"/>
        <w:ind w:firstLine="720"/>
        <w:jc w:val="both"/>
      </w:pPr>
      <w:r w:rsidRPr="000E28AB">
        <w:rPr>
          <w:b/>
        </w:rPr>
        <w:t>Pre-IPO acquisitions</w:t>
      </w:r>
      <w:r>
        <w:t xml:space="preserve">. Hypotheses 3 and 4 predict that pre-IPO firms use foreign acquisitions as a compensatory strategy. </w:t>
      </w:r>
      <w:r w:rsidR="008B4292">
        <w:t xml:space="preserve">We </w:t>
      </w:r>
      <w:r>
        <w:t>test this premise</w:t>
      </w:r>
      <w:r w:rsidR="008B4292">
        <w:t xml:space="preserve"> using</w:t>
      </w:r>
      <w:r>
        <w:t xml:space="preserve"> a categorical variable</w:t>
      </w:r>
      <w:r w:rsidR="008B4292">
        <w:t xml:space="preserve"> that</w:t>
      </w:r>
      <w:r>
        <w:t xml:space="preserve"> takes the value 1 if a focal firm has reported any foreign acquisitions up to the final fiscal year prior to IPO, and 0 otherwise. For each firm, we obtained data on foreign acquisitions from two sources </w:t>
      </w:r>
      <w:r>
        <w:lastRenderedPageBreak/>
        <w:t xml:space="preserve">(SDC Platinum and Crunchbase). We used a categorical measure because our theoretical reasoning is based on the presence or absence of acquisitions, rather than the intensity of a firm’s acquisitiveness. </w:t>
      </w:r>
    </w:p>
    <w:p w14:paraId="1FF95087" w14:textId="77777777" w:rsidR="00FC633C" w:rsidRPr="000E28AB" w:rsidRDefault="00FC633C" w:rsidP="00FC633C">
      <w:pPr>
        <w:pStyle w:val="Heading2"/>
      </w:pPr>
      <w:r w:rsidRPr="000E28AB">
        <w:t>Control Variables</w:t>
      </w:r>
    </w:p>
    <w:p w14:paraId="3A931453" w14:textId="16268528" w:rsidR="00FC633C" w:rsidRDefault="00FC633C" w:rsidP="00FC633C">
      <w:pPr>
        <w:spacing w:line="480" w:lineRule="auto"/>
        <w:ind w:firstLine="720"/>
        <w:jc w:val="both"/>
      </w:pPr>
      <w:r>
        <w:t xml:space="preserve">Our models account for a number of firm-level and industry-level controls. First, we account for differences in firm resources and characteristics by including a control variable for firm size, operationalized as </w:t>
      </w:r>
      <w:r>
        <w:rPr>
          <w:i/>
          <w:iCs/>
        </w:rPr>
        <w:t>total assets</w:t>
      </w:r>
      <w:r>
        <w:t xml:space="preserve"> (log-transformed). Since firms can go public at different stages of maturity, we control for </w:t>
      </w:r>
      <w:r>
        <w:rPr>
          <w:i/>
          <w:iCs/>
        </w:rPr>
        <w:t>age at IPO</w:t>
      </w:r>
      <w:r>
        <w:t xml:space="preserve">. We also include </w:t>
      </w:r>
      <w:r>
        <w:rPr>
          <w:i/>
          <w:iCs/>
        </w:rPr>
        <w:t>net income</w:t>
      </w:r>
      <w:r>
        <w:t xml:space="preserve"> in the year prior to IPO to distinguish between profitable and loss-making IPOs. Given the industry-blurring nature of digital firms and the low face validity of traditional NAICS/SIC codes, we constructed a simple set of </w:t>
      </w:r>
      <w:r>
        <w:rPr>
          <w:i/>
          <w:iCs/>
        </w:rPr>
        <w:t>industry</w:t>
      </w:r>
      <w:r>
        <w:t xml:space="preserve"> dummies based on the broad ‘primary industry’ category listed for each firm in the Capital IQ database. We included the top six industry categories from Capital IQ (which account for 80% of our sample) and categorized the rest as “other”.</w:t>
      </w:r>
    </w:p>
    <w:p w14:paraId="377F805B" w14:textId="77777777" w:rsidR="00FC633C" w:rsidRPr="000E28AB" w:rsidRDefault="00FC633C" w:rsidP="00FC633C">
      <w:pPr>
        <w:pStyle w:val="Heading2"/>
      </w:pPr>
      <w:r w:rsidRPr="000E28AB">
        <w:t>Empirical Model</w:t>
      </w:r>
    </w:p>
    <w:p w14:paraId="316BF27C" w14:textId="77777777" w:rsidR="00FC633C" w:rsidRDefault="00FC633C" w:rsidP="00FC633C">
      <w:pPr>
        <w:spacing w:line="480" w:lineRule="auto"/>
        <w:ind w:firstLine="720"/>
        <w:jc w:val="both"/>
      </w:pPr>
      <w:r>
        <w:t>We used a Tobit model to test our hypotheses. Tobit models can accommodate the proportional dependent variable FSTS, which is a ratio bounded by zero and one (</w:t>
      </w:r>
      <w:bookmarkStart w:id="73" w:name="_Hlk89864816"/>
      <w:r>
        <w:t xml:space="preserve">Wulff &amp; </w:t>
      </w:r>
      <w:proofErr w:type="spellStart"/>
      <w:r>
        <w:t>Villadsen</w:t>
      </w:r>
      <w:proofErr w:type="spellEnd"/>
      <w:r>
        <w:t>, 2019</w:t>
      </w:r>
      <w:bookmarkEnd w:id="73"/>
      <w:r>
        <w:t xml:space="preserve">). Moreover, a substantial proportion of our sample (29 percent) generated </w:t>
      </w:r>
      <w:r>
        <w:rPr>
          <w:i/>
          <w:iCs/>
        </w:rPr>
        <w:t>no</w:t>
      </w:r>
      <w:r>
        <w:t xml:space="preserve"> foreign sales prior to IPO. The Tobit model allows us to analyze both the </w:t>
      </w:r>
      <w:r w:rsidRPr="008C0F8A">
        <w:t>extensive margin (</w:t>
      </w:r>
      <w:r>
        <w:t>i.e., whether a firm has any foreign sales</w:t>
      </w:r>
      <w:r w:rsidRPr="008C0F8A">
        <w:t>) and the intensive margin</w:t>
      </w:r>
      <w:r>
        <w:t xml:space="preserve"> (i.e., the proportion of foreign sales) within a single model (Wulff &amp; </w:t>
      </w:r>
      <w:proofErr w:type="spellStart"/>
      <w:r>
        <w:t>Villadsen</w:t>
      </w:r>
      <w:proofErr w:type="spellEnd"/>
      <w:r>
        <w:t>, 2019).</w:t>
      </w:r>
    </w:p>
    <w:p w14:paraId="15424735" w14:textId="77777777" w:rsidR="00FC633C" w:rsidRPr="00916372" w:rsidRDefault="00FC633C" w:rsidP="00FC633C">
      <w:pPr>
        <w:jc w:val="center"/>
        <w:rPr>
          <w:b/>
          <w:bCs/>
        </w:rPr>
      </w:pPr>
      <w:r w:rsidRPr="00916372">
        <w:rPr>
          <w:b/>
          <w:bCs/>
        </w:rPr>
        <w:t>------------------------------------------</w:t>
      </w:r>
    </w:p>
    <w:p w14:paraId="2AB26CA9" w14:textId="77777777" w:rsidR="00FC633C" w:rsidRPr="00916372" w:rsidRDefault="00FC633C" w:rsidP="00FC633C">
      <w:pPr>
        <w:jc w:val="center"/>
        <w:rPr>
          <w:b/>
          <w:bCs/>
        </w:rPr>
      </w:pPr>
      <w:r w:rsidRPr="00916372">
        <w:rPr>
          <w:b/>
          <w:bCs/>
        </w:rPr>
        <w:t xml:space="preserve">Table </w:t>
      </w:r>
      <w:r>
        <w:rPr>
          <w:b/>
          <w:bCs/>
        </w:rPr>
        <w:t>1</w:t>
      </w:r>
      <w:r w:rsidRPr="00916372">
        <w:rPr>
          <w:b/>
          <w:bCs/>
        </w:rPr>
        <w:t xml:space="preserve">: </w:t>
      </w:r>
      <w:r>
        <w:rPr>
          <w:b/>
          <w:bCs/>
        </w:rPr>
        <w:t>D</w:t>
      </w:r>
      <w:r w:rsidRPr="00916372">
        <w:rPr>
          <w:b/>
          <w:bCs/>
        </w:rPr>
        <w:t>escriptive stat</w:t>
      </w:r>
      <w:r>
        <w:rPr>
          <w:b/>
          <w:bCs/>
        </w:rPr>
        <w:t>istics</w:t>
      </w:r>
    </w:p>
    <w:p w14:paraId="19FF4FE9" w14:textId="77777777" w:rsidR="00FC633C" w:rsidRDefault="00FC633C" w:rsidP="00FC633C">
      <w:pPr>
        <w:jc w:val="center"/>
      </w:pPr>
      <w:r w:rsidRPr="00916372">
        <w:rPr>
          <w:b/>
          <w:bCs/>
        </w:rPr>
        <w:t>------------------------------------------</w:t>
      </w:r>
    </w:p>
    <w:p w14:paraId="18DB651D" w14:textId="77777777" w:rsidR="00ED5CBC" w:rsidRDefault="00ED5CBC" w:rsidP="00FC633C">
      <w:pPr>
        <w:pStyle w:val="Heading1"/>
      </w:pPr>
    </w:p>
    <w:p w14:paraId="0B3D302E" w14:textId="77777777" w:rsidR="00ED5CBC" w:rsidRDefault="00ED5CBC" w:rsidP="00FC633C">
      <w:pPr>
        <w:pStyle w:val="Heading1"/>
      </w:pPr>
    </w:p>
    <w:p w14:paraId="66DBA9F0" w14:textId="080A3919" w:rsidR="00FC633C" w:rsidRPr="008C0F8A" w:rsidRDefault="00FC633C" w:rsidP="00FC633C">
      <w:pPr>
        <w:pStyle w:val="Heading1"/>
      </w:pPr>
      <w:r w:rsidRPr="008C0F8A">
        <w:lastRenderedPageBreak/>
        <w:t>RESULTS</w:t>
      </w:r>
    </w:p>
    <w:p w14:paraId="14134551" w14:textId="77777777" w:rsidR="00FC633C" w:rsidRDefault="00FC633C" w:rsidP="00FC633C">
      <w:pPr>
        <w:spacing w:line="480" w:lineRule="auto"/>
        <w:ind w:firstLine="720"/>
        <w:jc w:val="both"/>
      </w:pPr>
      <w:r>
        <w:t>Table 1 shows the descriptive statistics and correlations for our sample. Table 2 displays the coefficient estimates and p-values from the Tobit model. Model 1 includes only control variables, Model 2 and Model 3 introduce the two main effects, Model 4 adds the interaction terms, and Model 5 is the full model. Model 5 suggests a negative relationship between</w:t>
      </w:r>
      <w:r w:rsidRPr="00D140D7">
        <w:t xml:space="preserve"> </w:t>
      </w:r>
      <w:r>
        <w:t xml:space="preserve">foreign sales and </w:t>
      </w:r>
      <w:r>
        <w:rPr>
          <w:i/>
          <w:iCs/>
        </w:rPr>
        <w:t>B2C</w:t>
      </w:r>
      <w:r>
        <w:t xml:space="preserve"> </w:t>
      </w:r>
      <w:r w:rsidRPr="00D140D7">
        <w:t>(p&lt;0.</w:t>
      </w:r>
      <w:r>
        <w:t>001</w:t>
      </w:r>
      <w:r w:rsidRPr="00D140D7">
        <w:t xml:space="preserve">), </w:t>
      </w:r>
      <w:r>
        <w:t xml:space="preserve">and a positive relationship with </w:t>
      </w:r>
      <w:r>
        <w:rPr>
          <w:i/>
          <w:iCs/>
        </w:rPr>
        <w:t>gross margin</w:t>
      </w:r>
      <w:r>
        <w:t xml:space="preserve"> (p=0.002). The interaction term of </w:t>
      </w:r>
      <w:r w:rsidRPr="00AB4A5D">
        <w:rPr>
          <w:i/>
          <w:iCs/>
        </w:rPr>
        <w:t>B2C</w:t>
      </w:r>
      <w:r>
        <w:t xml:space="preserve"> and </w:t>
      </w:r>
      <w:r w:rsidRPr="00AB4A5D">
        <w:rPr>
          <w:i/>
          <w:iCs/>
        </w:rPr>
        <w:t>acquisitions</w:t>
      </w:r>
      <w:r>
        <w:t xml:space="preserve"> is positive (p=0.002), whereas the interaction term of </w:t>
      </w:r>
      <w:r>
        <w:rPr>
          <w:i/>
          <w:iCs/>
        </w:rPr>
        <w:t>gross margin</w:t>
      </w:r>
      <w:r>
        <w:t xml:space="preserve"> and </w:t>
      </w:r>
      <w:r>
        <w:rPr>
          <w:i/>
          <w:iCs/>
        </w:rPr>
        <w:t>acquisitions</w:t>
      </w:r>
      <w:r>
        <w:t xml:space="preserve"> is negative (p=0.052). While the directions of the coefficients are as expected, the coefficients in non-linear models do not represent the true marginal effects on the dependent variable (Norton et al., 2004; </w:t>
      </w:r>
      <w:proofErr w:type="spellStart"/>
      <w:r>
        <w:t>Karaca</w:t>
      </w:r>
      <w:proofErr w:type="spellEnd"/>
      <w:r>
        <w:t>-Mandic et al., 2012). Therefore, we calculate marginal effects and predicted values for each independent variable, based on Model 5.</w:t>
      </w:r>
    </w:p>
    <w:p w14:paraId="4256E1D5" w14:textId="77777777" w:rsidR="00FC633C" w:rsidRPr="00916372" w:rsidRDefault="00FC633C" w:rsidP="00FC633C">
      <w:pPr>
        <w:keepNext/>
        <w:jc w:val="center"/>
        <w:rPr>
          <w:b/>
          <w:bCs/>
        </w:rPr>
      </w:pPr>
      <w:r w:rsidRPr="00916372">
        <w:rPr>
          <w:b/>
          <w:bCs/>
        </w:rPr>
        <w:t>------------------------------------------</w:t>
      </w:r>
    </w:p>
    <w:p w14:paraId="1A228511" w14:textId="77777777" w:rsidR="00FC633C" w:rsidRPr="00916372" w:rsidRDefault="00FC633C" w:rsidP="00FC633C">
      <w:pPr>
        <w:keepNext/>
        <w:jc w:val="center"/>
        <w:rPr>
          <w:b/>
          <w:bCs/>
        </w:rPr>
      </w:pPr>
      <w:r w:rsidRPr="00916372">
        <w:rPr>
          <w:b/>
          <w:bCs/>
        </w:rPr>
        <w:t xml:space="preserve">Table </w:t>
      </w:r>
      <w:r>
        <w:rPr>
          <w:b/>
          <w:bCs/>
        </w:rPr>
        <w:t>2</w:t>
      </w:r>
      <w:r w:rsidRPr="00916372">
        <w:rPr>
          <w:b/>
          <w:bCs/>
        </w:rPr>
        <w:t xml:space="preserve">: </w:t>
      </w:r>
      <w:r>
        <w:rPr>
          <w:b/>
          <w:bCs/>
        </w:rPr>
        <w:t>Results</w:t>
      </w:r>
    </w:p>
    <w:p w14:paraId="3957AB1A" w14:textId="77777777" w:rsidR="00FC633C" w:rsidRDefault="00FC633C" w:rsidP="00FC633C">
      <w:pPr>
        <w:jc w:val="center"/>
      </w:pPr>
      <w:r w:rsidRPr="00916372">
        <w:rPr>
          <w:b/>
          <w:bCs/>
        </w:rPr>
        <w:t>------------------------------------------</w:t>
      </w:r>
    </w:p>
    <w:p w14:paraId="734BDAAF" w14:textId="77777777" w:rsidR="00FC633C" w:rsidRDefault="00FC633C" w:rsidP="00FC633C">
      <w:pPr>
        <w:ind w:firstLine="720"/>
        <w:jc w:val="both"/>
      </w:pPr>
    </w:p>
    <w:p w14:paraId="40116E66" w14:textId="77777777" w:rsidR="00FC633C" w:rsidRDefault="00FC633C" w:rsidP="00FC633C">
      <w:pPr>
        <w:spacing w:line="480" w:lineRule="auto"/>
        <w:ind w:firstLine="720"/>
        <w:jc w:val="both"/>
      </w:pPr>
      <w:r>
        <w:t>First, we compare B2C and B2B business foci. The predicted probability that a firm has pre-IPO foreign sales is 0.79 for B2B firms, but only 0.49 for B2C firms. The difference between the two groups (0.30) is highly significant (p&lt;0.001), which supports Hypothesis 1a. Similarly, among firms that have foreign sales, the predicted level of FSTS for B2C firms is just 0.091 (</w:t>
      </w:r>
      <w:proofErr w:type="gramStart"/>
      <w:r>
        <w:t>i.e.</w:t>
      </w:r>
      <w:proofErr w:type="gramEnd"/>
      <w:r>
        <w:t xml:space="preserve"> nine percent of sales are to foreign markets), compared to 0.189 for B2B firms. The difference is highly significant (p&lt;0.001), supporting Hypothesis 1b.</w:t>
      </w:r>
    </w:p>
    <w:p w14:paraId="77C51E96" w14:textId="77777777" w:rsidR="00FC633C" w:rsidRDefault="00FC633C" w:rsidP="00FC633C">
      <w:pPr>
        <w:spacing w:line="480" w:lineRule="auto"/>
        <w:ind w:firstLine="720"/>
        <w:jc w:val="both"/>
        <w:rPr>
          <w:b/>
          <w:bCs/>
        </w:rPr>
      </w:pPr>
      <w:r>
        <w:t xml:space="preserve">Next, we examined the effect of </w:t>
      </w:r>
      <w:r>
        <w:rPr>
          <w:i/>
          <w:iCs/>
        </w:rPr>
        <w:t>gross margin</w:t>
      </w:r>
      <w:r>
        <w:t xml:space="preserve"> on the predicted probability of digital firms having </w:t>
      </w:r>
      <w:r w:rsidRPr="00AB4A5D">
        <w:t xml:space="preserve">any </w:t>
      </w:r>
      <w:r>
        <w:t xml:space="preserve">pre-IPO foreign sales. As Figure 1 illustrates, there is a strong positive relationship. At the mean value of </w:t>
      </w:r>
      <w:r w:rsidRPr="00E16D5D">
        <w:rPr>
          <w:i/>
          <w:iCs/>
        </w:rPr>
        <w:t>gross margin</w:t>
      </w:r>
      <w:r>
        <w:t xml:space="preserve">, the predicted probability is 0.74. When </w:t>
      </w:r>
      <w:r>
        <w:rPr>
          <w:i/>
          <w:iCs/>
        </w:rPr>
        <w:t xml:space="preserve">gross margin </w:t>
      </w:r>
      <w:r>
        <w:t xml:space="preserve">is one standard deviation below or above the mean, the predicted probability is 0.66 and 0.80, </w:t>
      </w:r>
      <w:r>
        <w:lastRenderedPageBreak/>
        <w:t xml:space="preserve">respectively. </w:t>
      </w:r>
      <w:r w:rsidRPr="008C1B00">
        <w:t>The</w:t>
      </w:r>
      <w:r>
        <w:t xml:space="preserve"> average marginal effect is 0.33 (p=0.003), which means that a 0.01 increase in gross margin is associated with a 0.0033 (</w:t>
      </w:r>
      <w:proofErr w:type="gramStart"/>
      <w:r>
        <w:t>i.e.</w:t>
      </w:r>
      <w:proofErr w:type="gramEnd"/>
      <w:r>
        <w:t xml:space="preserve"> one third of a percentage point) increase in the probability of pre-IPO foreign sales (both probability and gross margin range from 0 to 1). Thus, Hypothesis 2a is supported.</w:t>
      </w:r>
    </w:p>
    <w:p w14:paraId="60335108" w14:textId="77777777" w:rsidR="00FC633C" w:rsidRPr="00916372" w:rsidRDefault="00FC633C" w:rsidP="00FC633C">
      <w:pPr>
        <w:jc w:val="center"/>
        <w:rPr>
          <w:b/>
          <w:bCs/>
        </w:rPr>
      </w:pPr>
      <w:r w:rsidRPr="00916372">
        <w:rPr>
          <w:b/>
          <w:bCs/>
        </w:rPr>
        <w:t>------------------------------------------</w:t>
      </w:r>
      <w:r>
        <w:rPr>
          <w:b/>
          <w:bCs/>
        </w:rPr>
        <w:t>-------------------</w:t>
      </w:r>
    </w:p>
    <w:p w14:paraId="2BB89984" w14:textId="77777777" w:rsidR="00FC633C" w:rsidRPr="00916372" w:rsidRDefault="00FC633C" w:rsidP="00FC633C">
      <w:pPr>
        <w:jc w:val="center"/>
        <w:rPr>
          <w:b/>
          <w:bCs/>
        </w:rPr>
      </w:pPr>
      <w:r>
        <w:rPr>
          <w:b/>
          <w:bCs/>
        </w:rPr>
        <w:t>Figure 1</w:t>
      </w:r>
      <w:r w:rsidRPr="00916372">
        <w:rPr>
          <w:b/>
          <w:bCs/>
        </w:rPr>
        <w:t xml:space="preserve">: </w:t>
      </w:r>
      <w:r>
        <w:rPr>
          <w:b/>
          <w:bCs/>
        </w:rPr>
        <w:t>Predicted probability of foreign sales</w:t>
      </w:r>
    </w:p>
    <w:p w14:paraId="63E62F39" w14:textId="77777777" w:rsidR="00FC633C" w:rsidRPr="00916372" w:rsidRDefault="00FC633C" w:rsidP="00FC633C">
      <w:pPr>
        <w:jc w:val="center"/>
        <w:rPr>
          <w:b/>
          <w:bCs/>
        </w:rPr>
      </w:pPr>
      <w:r w:rsidRPr="00916372">
        <w:rPr>
          <w:b/>
          <w:bCs/>
        </w:rPr>
        <w:t>------------------------------------------</w:t>
      </w:r>
      <w:r>
        <w:rPr>
          <w:b/>
          <w:bCs/>
        </w:rPr>
        <w:t>------------------</w:t>
      </w:r>
    </w:p>
    <w:p w14:paraId="10AE887C" w14:textId="77777777" w:rsidR="00FC633C" w:rsidRDefault="00FC633C" w:rsidP="00FC633C">
      <w:pPr>
        <w:jc w:val="center"/>
      </w:pPr>
    </w:p>
    <w:p w14:paraId="1547844E" w14:textId="5477FE3B" w:rsidR="00AD452A" w:rsidRDefault="00FC633C" w:rsidP="00FC633C">
      <w:pPr>
        <w:spacing w:line="480" w:lineRule="auto"/>
      </w:pPr>
      <w:r>
        <w:t xml:space="preserve">Hypothesis 2b, which predicts a positive relationship between the degree of digitalization and the level of FSTS (conditional on FSTS being non-zero), is also supported. The average marginal effect is 0.16 (p=0.006), meaning that an increase in gross margin of 0.01 is associated with a 0.0016 increase in FSTS. At the mean level of </w:t>
      </w:r>
      <w:r>
        <w:rPr>
          <w:i/>
          <w:iCs/>
        </w:rPr>
        <w:t xml:space="preserve">gross </w:t>
      </w:r>
      <w:r w:rsidRPr="008C1B00">
        <w:rPr>
          <w:i/>
          <w:iCs/>
        </w:rPr>
        <w:t>margin</w:t>
      </w:r>
      <w:r>
        <w:t>, predicted FSTS is 0.17. At one standard deviation below and above, predicted FSTS is 0.13 and 0.20, respectively</w:t>
      </w:r>
      <w:r w:rsidR="00A46F09">
        <w:t xml:space="preserve"> (</w:t>
      </w:r>
      <w:r w:rsidRPr="008C1B00">
        <w:t>Figure</w:t>
      </w:r>
      <w:r>
        <w:t xml:space="preserve"> 2</w:t>
      </w:r>
      <w:r w:rsidR="00A46F09">
        <w:t>).</w:t>
      </w:r>
      <w:r>
        <w:t xml:space="preserve"> </w:t>
      </w:r>
    </w:p>
    <w:p w14:paraId="04B04117" w14:textId="77777777" w:rsidR="00FC633C" w:rsidRPr="00916372" w:rsidRDefault="00FC633C" w:rsidP="00FC633C">
      <w:pPr>
        <w:jc w:val="center"/>
        <w:rPr>
          <w:b/>
          <w:bCs/>
        </w:rPr>
      </w:pPr>
      <w:r w:rsidRPr="00916372">
        <w:rPr>
          <w:b/>
          <w:bCs/>
        </w:rPr>
        <w:t>------------------------------------------</w:t>
      </w:r>
      <w:r>
        <w:rPr>
          <w:b/>
          <w:bCs/>
        </w:rPr>
        <w:t>-------------------</w:t>
      </w:r>
    </w:p>
    <w:p w14:paraId="78BDBF28" w14:textId="77777777" w:rsidR="00FC633C" w:rsidRPr="00916372" w:rsidRDefault="00FC633C" w:rsidP="00FC633C">
      <w:pPr>
        <w:jc w:val="center"/>
        <w:rPr>
          <w:b/>
          <w:bCs/>
        </w:rPr>
      </w:pPr>
      <w:r>
        <w:rPr>
          <w:b/>
          <w:bCs/>
        </w:rPr>
        <w:t>Figure 2</w:t>
      </w:r>
      <w:r w:rsidRPr="00916372">
        <w:rPr>
          <w:b/>
          <w:bCs/>
        </w:rPr>
        <w:t xml:space="preserve">: </w:t>
      </w:r>
      <w:r>
        <w:rPr>
          <w:b/>
          <w:bCs/>
        </w:rPr>
        <w:t>Predicted level of foreign sales</w:t>
      </w:r>
    </w:p>
    <w:p w14:paraId="225B5D64" w14:textId="77777777" w:rsidR="00FC633C" w:rsidRPr="00916372" w:rsidRDefault="00FC633C" w:rsidP="00FC633C">
      <w:pPr>
        <w:jc w:val="center"/>
        <w:rPr>
          <w:b/>
          <w:bCs/>
        </w:rPr>
      </w:pPr>
      <w:r w:rsidRPr="00916372">
        <w:rPr>
          <w:b/>
          <w:bCs/>
        </w:rPr>
        <w:t>------------------------------------------</w:t>
      </w:r>
      <w:r>
        <w:rPr>
          <w:b/>
          <w:bCs/>
        </w:rPr>
        <w:t>------------------</w:t>
      </w:r>
    </w:p>
    <w:p w14:paraId="261A828C" w14:textId="77777777" w:rsidR="00FC633C" w:rsidRDefault="00FC633C" w:rsidP="00FC633C">
      <w:pPr>
        <w:jc w:val="center"/>
      </w:pPr>
    </w:p>
    <w:p w14:paraId="620EF7B2" w14:textId="77777777" w:rsidR="00FC633C" w:rsidRPr="00594E97" w:rsidRDefault="00FC633C" w:rsidP="00FC633C">
      <w:pPr>
        <w:spacing w:line="480" w:lineRule="auto"/>
        <w:ind w:firstLine="720"/>
        <w:jc w:val="both"/>
      </w:pPr>
      <w:r>
        <w:t xml:space="preserve">Hypothesis 3 predicts that the negative effect of </w:t>
      </w:r>
      <w:r w:rsidRPr="00270420">
        <w:rPr>
          <w:i/>
          <w:iCs/>
        </w:rPr>
        <w:t>B2C</w:t>
      </w:r>
      <w:r>
        <w:t xml:space="preserve"> on internationalization is diminished when firms pursue foreign acquisitions. We can test this by comparing the marginal effect of </w:t>
      </w:r>
      <w:r w:rsidRPr="00270420">
        <w:rPr>
          <w:i/>
          <w:iCs/>
        </w:rPr>
        <w:t>B2C</w:t>
      </w:r>
      <w:r>
        <w:rPr>
          <w:i/>
          <w:iCs/>
        </w:rPr>
        <w:t xml:space="preserve"> </w:t>
      </w:r>
      <w:r>
        <w:t xml:space="preserve">on </w:t>
      </w:r>
      <w:r w:rsidRPr="000421D0">
        <w:rPr>
          <w:i/>
          <w:iCs/>
        </w:rPr>
        <w:t>FSTS</w:t>
      </w:r>
      <w:r>
        <w:t xml:space="preserve"> for firms with and without foreign acquisitions (</w:t>
      </w:r>
      <w:bookmarkStart w:id="74" w:name="_Hlk89864829"/>
      <w:proofErr w:type="spellStart"/>
      <w:r>
        <w:t>Karaca</w:t>
      </w:r>
      <w:proofErr w:type="spellEnd"/>
      <w:r>
        <w:t>-Mandic et al., 2012</w:t>
      </w:r>
      <w:bookmarkEnd w:id="74"/>
      <w:r>
        <w:t xml:space="preserve">). Among firms without foreign acquisitions, </w:t>
      </w:r>
      <w:r w:rsidRPr="000421D0">
        <w:t>B2C</w:t>
      </w:r>
      <w:r>
        <w:t xml:space="preserve"> reduces predicted FSTS by 0.141 (p&lt;0.001). Among firms </w:t>
      </w:r>
      <w:r>
        <w:rPr>
          <w:i/>
          <w:iCs/>
        </w:rPr>
        <w:t>with</w:t>
      </w:r>
      <w:r>
        <w:t xml:space="preserve"> foreign acquisitions, B2C reduces predicted FSTS by an insignificant 0.012 (p=0.819). The difference in effect size between firms with and without foreign acquisitions is statistically significant (p=0.008), which is consistent with Hypothesis 3. Hypothesis 4 states that the positive effect of </w:t>
      </w:r>
      <w:r>
        <w:rPr>
          <w:i/>
          <w:iCs/>
        </w:rPr>
        <w:t>gross margin</w:t>
      </w:r>
      <w:r>
        <w:t xml:space="preserve"> should be smaller for firms that pursue foreign acquisitions. We find that the average marginal effect of </w:t>
      </w:r>
      <w:r w:rsidRPr="000421D0">
        <w:rPr>
          <w:i/>
          <w:iCs/>
        </w:rPr>
        <w:t>gross margin</w:t>
      </w:r>
      <w:r>
        <w:t xml:space="preserve"> on predicted FSTS is lower (0.02) for firms with </w:t>
      </w:r>
      <w:r>
        <w:lastRenderedPageBreak/>
        <w:t>foreign acquisitions than for firms without foreign acquisitions (0.22), which is a significant difference (p=0.071). Thus, Hypothesis 4 is supported.</w:t>
      </w:r>
    </w:p>
    <w:p w14:paraId="73414266" w14:textId="3C950B6E" w:rsidR="00FC633C" w:rsidRPr="006E6C89" w:rsidRDefault="00FC633C" w:rsidP="00FC633C">
      <w:pPr>
        <w:pStyle w:val="Heading2"/>
      </w:pPr>
      <w:r w:rsidRPr="006E6C89">
        <w:t>Robustness Tests</w:t>
      </w:r>
    </w:p>
    <w:p w14:paraId="45E47562" w14:textId="1A8C6163" w:rsidR="00694602" w:rsidRDefault="00DB6933" w:rsidP="001F0725">
      <w:pPr>
        <w:spacing w:line="480" w:lineRule="auto"/>
        <w:jc w:val="both"/>
      </w:pPr>
      <w:r>
        <w:t>W</w:t>
      </w:r>
      <w:r w:rsidR="005A63E1">
        <w:t xml:space="preserve">e carried out numerous </w:t>
      </w:r>
      <w:r>
        <w:t>robustness tests</w:t>
      </w:r>
      <w:r w:rsidR="005A63E1">
        <w:t xml:space="preserve">. First, we </w:t>
      </w:r>
      <w:r w:rsidR="007F045C">
        <w:t>explored</w:t>
      </w:r>
      <w:r w:rsidR="005A63E1">
        <w:t xml:space="preserve"> alternative estimation techniques</w:t>
      </w:r>
      <w:r>
        <w:t xml:space="preserve">. Since the Tobit model </w:t>
      </w:r>
      <w:r w:rsidR="002A472C">
        <w:t xml:space="preserve">can be inconsistent when the assumption of </w:t>
      </w:r>
      <w:r>
        <w:t>normally distributed errors</w:t>
      </w:r>
      <w:r w:rsidR="002A472C">
        <w:t xml:space="preserve"> is violated</w:t>
      </w:r>
      <w:r>
        <w:t xml:space="preserve">, we </w:t>
      </w:r>
      <w:r w:rsidR="00126082">
        <w:t xml:space="preserve">ran </w:t>
      </w:r>
      <w:r w:rsidR="007F045C">
        <w:t xml:space="preserve">a </w:t>
      </w:r>
      <w:r w:rsidR="002A472C">
        <w:t>F</w:t>
      </w:r>
      <w:r>
        <w:t xml:space="preserve">ractional </w:t>
      </w:r>
      <w:r w:rsidR="002A472C">
        <w:t>P</w:t>
      </w:r>
      <w:r>
        <w:t>robit model</w:t>
      </w:r>
      <w:r w:rsidR="007A3700">
        <w:rPr>
          <w:vertAlign w:val="superscript"/>
        </w:rPr>
        <w:t>5</w:t>
      </w:r>
      <w:r w:rsidR="005C23C2">
        <w:t>, which do</w:t>
      </w:r>
      <w:r w:rsidR="007F045C">
        <w:t>es</w:t>
      </w:r>
      <w:r w:rsidR="005C23C2">
        <w:t xml:space="preserve"> not require normal distribution of errors</w:t>
      </w:r>
      <w:r>
        <w:t xml:space="preserve"> (Wulff &amp; </w:t>
      </w:r>
      <w:proofErr w:type="spellStart"/>
      <w:r>
        <w:t>Villadsen</w:t>
      </w:r>
      <w:proofErr w:type="spellEnd"/>
      <w:r>
        <w:t>, 2019)</w:t>
      </w:r>
      <w:r w:rsidR="005C23C2">
        <w:t>.</w:t>
      </w:r>
      <w:r w:rsidR="002A472C">
        <w:t xml:space="preserve"> </w:t>
      </w:r>
      <w:r w:rsidR="00123C9E">
        <w:t>T</w:t>
      </w:r>
      <w:r w:rsidR="002A472C">
        <w:t>he results were fully consistent with the Tobit results in terms of direction, significance, and effect size</w:t>
      </w:r>
      <w:r w:rsidR="00CC2D28">
        <w:t xml:space="preserve">, indicating that potential violations of the normality assumption are not materially affecting our estimates (Wulff &amp; </w:t>
      </w:r>
      <w:proofErr w:type="spellStart"/>
      <w:r w:rsidR="00CC2D28">
        <w:t>Villadsen</w:t>
      </w:r>
      <w:proofErr w:type="spellEnd"/>
      <w:r w:rsidR="00CC2D28">
        <w:t>, 2019).</w:t>
      </w:r>
      <w:r w:rsidR="00A4351E">
        <w:t xml:space="preserve"> </w:t>
      </w:r>
      <w:r w:rsidR="00126082">
        <w:t xml:space="preserve">Similarly, </w:t>
      </w:r>
      <w:r w:rsidR="009A68B7">
        <w:t xml:space="preserve">coefficient estimates </w:t>
      </w:r>
      <w:r w:rsidR="007F045C">
        <w:t>from an</w:t>
      </w:r>
      <w:r w:rsidR="00A4351E">
        <w:t xml:space="preserve"> </w:t>
      </w:r>
      <w:r w:rsidR="007F045C">
        <w:t>ordinary least squares (</w:t>
      </w:r>
      <w:r w:rsidR="00A4351E">
        <w:t>OLS</w:t>
      </w:r>
      <w:r w:rsidR="007F045C">
        <w:t>)</w:t>
      </w:r>
      <w:r w:rsidR="00A4351E">
        <w:t xml:space="preserve"> model with heteroscedasticity-robust standard errors were </w:t>
      </w:r>
      <w:r w:rsidR="007F045C">
        <w:t xml:space="preserve">highly </w:t>
      </w:r>
      <w:r w:rsidR="00A4351E">
        <w:t>consistent with the main Tobit model</w:t>
      </w:r>
      <w:r w:rsidR="00126082">
        <w:t>, suggesting that our findings are robust to a variety of model specifications.</w:t>
      </w:r>
      <w:r w:rsidR="009A68B7">
        <w:t xml:space="preserve"> </w:t>
      </w:r>
    </w:p>
    <w:p w14:paraId="093944E9" w14:textId="2F21FB0A" w:rsidR="008E4740" w:rsidRDefault="001F0725" w:rsidP="00E3498C">
      <w:pPr>
        <w:spacing w:line="480" w:lineRule="auto"/>
        <w:ind w:firstLine="720"/>
        <w:jc w:val="both"/>
      </w:pPr>
      <w:r>
        <w:t xml:space="preserve">Second, </w:t>
      </w:r>
      <w:r w:rsidR="00126082">
        <w:t>we ensured that</w:t>
      </w:r>
      <w:r w:rsidR="000A51D7">
        <w:t xml:space="preserve"> our findings were not driven by a small number of influential data points</w:t>
      </w:r>
      <w:r w:rsidR="00126082">
        <w:t>. For instance, noting the presence of a few large companies</w:t>
      </w:r>
      <w:r w:rsidR="007F045C">
        <w:t xml:space="preserve"> (“unicorns”)</w:t>
      </w:r>
      <w:r w:rsidR="00126082">
        <w:t xml:space="preserve"> in a sample otherwise </w:t>
      </w:r>
      <w:r w:rsidR="007F045C">
        <w:t>composed</w:t>
      </w:r>
      <w:r w:rsidR="00126082">
        <w:t xml:space="preserve"> of small and medium-sized firms, we excluded</w:t>
      </w:r>
      <w:r w:rsidR="007F045C">
        <w:t xml:space="preserve"> </w:t>
      </w:r>
      <w:r w:rsidR="00126082">
        <w:t>the ten largest firms by revenue and by employees</w:t>
      </w:r>
      <w:r w:rsidR="007F045C">
        <w:t>, but found no material changes to our results.</w:t>
      </w:r>
    </w:p>
    <w:p w14:paraId="299D41FC" w14:textId="57712C0E" w:rsidR="00FC633C" w:rsidRDefault="00694602" w:rsidP="00A46F09">
      <w:pPr>
        <w:spacing w:line="480" w:lineRule="auto"/>
        <w:ind w:firstLine="720"/>
        <w:jc w:val="both"/>
      </w:pPr>
      <w:r>
        <w:t xml:space="preserve">Third, we probed the key mechanism underlying Hypotheses 1a and 1b, which holds that </w:t>
      </w:r>
      <w:r w:rsidR="00E65A82">
        <w:t xml:space="preserve">digital firms in B2B markets face relatively low cross-border demand heterogeneity, which </w:t>
      </w:r>
      <w:r>
        <w:t xml:space="preserve">in turn </w:t>
      </w:r>
      <w:r w:rsidR="00E65A82">
        <w:t xml:space="preserve">aids their international expansion. </w:t>
      </w:r>
      <w:r>
        <w:t>If true, this pattern should be</w:t>
      </w:r>
      <w:r w:rsidR="00E65A82">
        <w:t xml:space="preserve"> further accentuated for digital firms serving </w:t>
      </w:r>
      <w:r>
        <w:t xml:space="preserve">so-called </w:t>
      </w:r>
      <w:r w:rsidR="00E65A82">
        <w:rPr>
          <w:i/>
          <w:iCs/>
        </w:rPr>
        <w:t>enterprise</w:t>
      </w:r>
      <w:r w:rsidR="00E65A82">
        <w:t xml:space="preserve"> B2B customers. </w:t>
      </w:r>
      <w:r>
        <w:t>The enterprise segment is a subset of the B2B market, consisting of large companies that</w:t>
      </w:r>
      <w:r w:rsidR="002D464D">
        <w:t xml:space="preserve"> </w:t>
      </w:r>
      <w:r>
        <w:t xml:space="preserve">typically </w:t>
      </w:r>
      <w:r w:rsidR="00D70EC4">
        <w:t>have</w:t>
      </w:r>
      <w:r w:rsidR="00E65A82">
        <w:t xml:space="preserve"> multinational operations themselves</w:t>
      </w:r>
      <w:r>
        <w:t xml:space="preserve">. Given their global operations, we would expect enterprise customers </w:t>
      </w:r>
      <w:r w:rsidR="00E65A82">
        <w:t xml:space="preserve">to have </w:t>
      </w:r>
      <w:r w:rsidR="00486F39">
        <w:t xml:space="preserve">relatively homogeneous </w:t>
      </w:r>
      <w:r w:rsidR="00E65A82">
        <w:t>needs in different parts of the world</w:t>
      </w:r>
      <w:r w:rsidR="00F86882">
        <w:t xml:space="preserve">. </w:t>
      </w:r>
      <w:r w:rsidR="00EE5875">
        <w:t>Thus</w:t>
      </w:r>
      <w:r w:rsidR="00FC633C">
        <w:t xml:space="preserve">, digital firms serving </w:t>
      </w:r>
      <w:r w:rsidR="00486F39">
        <w:t xml:space="preserve">the </w:t>
      </w:r>
      <w:r w:rsidR="00FC633C">
        <w:t xml:space="preserve">enterprise </w:t>
      </w:r>
      <w:r w:rsidR="00486F39">
        <w:lastRenderedPageBreak/>
        <w:t xml:space="preserve">segment </w:t>
      </w:r>
      <w:r w:rsidR="00FC633C">
        <w:t>should be even more likely to internationalize and have even higher FSTS than non-enterprise B2B firms. We re-ran our models with a categorical variable for</w:t>
      </w:r>
      <w:r w:rsidR="00486F39">
        <w:t xml:space="preserve"> firms targeting the</w:t>
      </w:r>
      <w:r w:rsidR="00FC633C">
        <w:t xml:space="preserve"> </w:t>
      </w:r>
      <w:r w:rsidR="00FC633C" w:rsidRPr="00C86981">
        <w:rPr>
          <w:i/>
          <w:iCs/>
        </w:rPr>
        <w:t>enterprise</w:t>
      </w:r>
      <w:r w:rsidR="00FC633C">
        <w:t xml:space="preserve"> </w:t>
      </w:r>
      <w:r w:rsidR="00486F39">
        <w:t xml:space="preserve">sector </w:t>
      </w:r>
      <w:r w:rsidR="00FC633C">
        <w:t xml:space="preserve">(identified in the Crunchbase database). The predicted probability of having foreign sales at IPO is 0.07 higher (p=0.082) and predicted FSTS is 0.04 higher (p=0.093) than for non-enterprise B2B firms. </w:t>
      </w:r>
      <w:r w:rsidR="002D464D">
        <w:t>This is c</w:t>
      </w:r>
      <w:r w:rsidR="00FC633C">
        <w:t>onsistent with our theory</w:t>
      </w:r>
      <w:r w:rsidR="002D464D">
        <w:t xml:space="preserve"> regarding the role of demand heterogeneity, while also suggesting </w:t>
      </w:r>
      <w:r w:rsidR="00FC633C">
        <w:t xml:space="preserve">that the distinction between enterprise and non-enterprise </w:t>
      </w:r>
      <w:r w:rsidR="002D464D">
        <w:t xml:space="preserve">B2B </w:t>
      </w:r>
      <w:r w:rsidR="00FC633C">
        <w:t>business models merits further attention in future research.</w:t>
      </w:r>
    </w:p>
    <w:p w14:paraId="428CCD4B" w14:textId="77777777" w:rsidR="00FC633C" w:rsidRDefault="00FC633C" w:rsidP="00FC633C"/>
    <w:p w14:paraId="09B184E0" w14:textId="77777777" w:rsidR="00FC633C" w:rsidRDefault="00FC633C" w:rsidP="00FC633C">
      <w:pPr>
        <w:pStyle w:val="Heading1"/>
      </w:pPr>
      <w:r w:rsidRPr="00697B03">
        <w:t>DISCUSSION</w:t>
      </w:r>
    </w:p>
    <w:p w14:paraId="6F3C44EB" w14:textId="6C037A9B" w:rsidR="009416D7" w:rsidRDefault="0043020C" w:rsidP="00FC633C">
      <w:pPr>
        <w:spacing w:line="480" w:lineRule="auto"/>
        <w:ind w:firstLine="720"/>
        <w:jc w:val="both"/>
      </w:pPr>
      <w:r>
        <w:t>M</w:t>
      </w:r>
      <w:r w:rsidR="00FC633C">
        <w:t xml:space="preserve">any firms find themselves confronting what </w:t>
      </w:r>
      <w:bookmarkStart w:id="75" w:name="_Hlk89864849"/>
      <w:proofErr w:type="spellStart"/>
      <w:r w:rsidR="00FC633C">
        <w:t>Gebauer</w:t>
      </w:r>
      <w:proofErr w:type="spellEnd"/>
      <w:r w:rsidR="00FC633C">
        <w:t xml:space="preserve"> and colleagues </w:t>
      </w:r>
      <w:bookmarkEnd w:id="75"/>
      <w:r w:rsidR="00FC633C">
        <w:t>(2020: 314) refer to as a “digitalization paradox,” in which value-generation is expedited through digitalization, but value-capture through revenue generation is elusive</w:t>
      </w:r>
      <w:r w:rsidR="00FC633C" w:rsidRPr="006922BC">
        <w:t>.</w:t>
      </w:r>
      <w:r w:rsidR="00FC633C">
        <w:t xml:space="preserve"> As our findings reveal, the roles and impacts of digitalization are non-uniform</w:t>
      </w:r>
      <w:r w:rsidR="0064466D">
        <w:t xml:space="preserve">, and “hidden forces” abound, often in the form of traditional supply chain constraints. </w:t>
      </w:r>
      <w:r w:rsidR="00FC633C">
        <w:t xml:space="preserve">While management and entrepreneurship research has viewed the adoption and the impact of digitalization somewhat indiscriminately, the reality appears to be far more nuanced. </w:t>
      </w:r>
      <w:r w:rsidR="00101FF0">
        <w:t xml:space="preserve">As the foregoing results evince, digital firms that take resource orchestration for granted, do so at great peril. </w:t>
      </w:r>
      <w:r w:rsidR="00390F52">
        <w:t>Not only did the difficult work of structuring resources (Sirmon et al., 2007) and developing dynamic capabilities (Helfat et al. 2007) not disappear in the age of digitalization, start-ups now find themselves confronted with a multiplicity of challenges related to the orchestration of digital and non-digital resources (</w:t>
      </w:r>
      <w:proofErr w:type="spellStart"/>
      <w:r w:rsidR="00390F52" w:rsidRPr="00390F52">
        <w:t>Pitelis</w:t>
      </w:r>
      <w:proofErr w:type="spellEnd"/>
      <w:r w:rsidR="00390F52" w:rsidRPr="00390F52">
        <w:t xml:space="preserve"> &amp; Teece, 2018</w:t>
      </w:r>
      <w:r w:rsidR="00390F52">
        <w:t>; Teece, 2018).</w:t>
      </w:r>
      <w:r w:rsidR="009416D7">
        <w:t xml:space="preserve"> </w:t>
      </w:r>
      <w:r w:rsidR="00FC633C">
        <w:t xml:space="preserve">Ultimately, it appears that the resources needed to service current and future customers </w:t>
      </w:r>
      <w:r w:rsidR="00325073">
        <w:t xml:space="preserve">are </w:t>
      </w:r>
      <w:r w:rsidR="00FC633C">
        <w:t xml:space="preserve">the principal determinant of a firm’s ability to scale internationally. </w:t>
      </w:r>
      <w:r w:rsidR="00E93A0D">
        <w:t xml:space="preserve">Consistent with recent predictions by </w:t>
      </w:r>
      <w:bookmarkStart w:id="76" w:name="_Hlk89864867"/>
      <w:r w:rsidR="00E93A0D">
        <w:t xml:space="preserve">Verbeke and </w:t>
      </w:r>
      <w:proofErr w:type="spellStart"/>
      <w:r w:rsidR="00E93A0D">
        <w:t>Hutzschenreuter</w:t>
      </w:r>
      <w:proofErr w:type="spellEnd"/>
      <w:r w:rsidR="00E93A0D">
        <w:t xml:space="preserve"> </w:t>
      </w:r>
      <w:bookmarkEnd w:id="76"/>
      <w:r w:rsidR="00E93A0D">
        <w:t>(202</w:t>
      </w:r>
      <w:r w:rsidR="006E6E46">
        <w:t>1</w:t>
      </w:r>
      <w:r w:rsidR="00E93A0D">
        <w:t>),</w:t>
      </w:r>
      <w:r w:rsidR="00FC633C">
        <w:t xml:space="preserve"> we find that this is true for digital ventures in very much the same way that it is true for non-digital ventures</w:t>
      </w:r>
      <w:r w:rsidR="00E93A0D">
        <w:t>.</w:t>
      </w:r>
    </w:p>
    <w:p w14:paraId="00F148F9" w14:textId="4DD01917" w:rsidR="00FC633C" w:rsidRPr="005669BA" w:rsidRDefault="009416D7" w:rsidP="00FC633C">
      <w:pPr>
        <w:spacing w:line="480" w:lineRule="auto"/>
        <w:ind w:firstLine="720"/>
        <w:jc w:val="both"/>
      </w:pPr>
      <w:r>
        <w:lastRenderedPageBreak/>
        <w:t>It is often assumed</w:t>
      </w:r>
      <w:r w:rsidR="00FC633C">
        <w:t xml:space="preserve"> that digital businesses are engaged in a “land grab”</w:t>
      </w:r>
      <w:r w:rsidR="003A405D">
        <w:t xml:space="preserve"> </w:t>
      </w:r>
      <w:r w:rsidR="000A4F0D">
        <w:t>or “</w:t>
      </w:r>
      <w:r w:rsidR="003A405D">
        <w:t>first mover</w:t>
      </w:r>
      <w:r w:rsidR="000A4F0D">
        <w:t>”</w:t>
      </w:r>
      <w:r w:rsidR="00FC633C">
        <w:t xml:space="preserve"> </w:t>
      </w:r>
      <w:r w:rsidR="00704E2D">
        <w:t xml:space="preserve">competition, </w:t>
      </w:r>
      <w:r w:rsidR="00FC633C">
        <w:t xml:space="preserve">in which </w:t>
      </w:r>
      <w:r w:rsidR="007A2749">
        <w:t xml:space="preserve">revenues and </w:t>
      </w:r>
      <w:r w:rsidR="00FC633C">
        <w:t>profits</w:t>
      </w:r>
      <w:r w:rsidR="007A2749">
        <w:t xml:space="preserve"> </w:t>
      </w:r>
      <w:r w:rsidR="00FC633C">
        <w:t>are subordinate to building the largest achievable network of users as rapidly as possible (</w:t>
      </w:r>
      <w:r w:rsidR="00F2003B" w:rsidRPr="00F2003B">
        <w:t>Bharadwaj</w:t>
      </w:r>
      <w:r w:rsidR="00F2003B">
        <w:t xml:space="preserve"> et al., 2013; Huang et al., 2017; </w:t>
      </w:r>
      <w:bookmarkStart w:id="77" w:name="_Hlk89864876"/>
      <w:r w:rsidR="00F2003B">
        <w:t>Westerlund, 2020</w:t>
      </w:r>
      <w:bookmarkEnd w:id="77"/>
      <w:r w:rsidR="00FC633C">
        <w:t>). Our findings suggest that while this may be true for select B2C business models, it is far from being generally true</w:t>
      </w:r>
      <w:r w:rsidR="003A405D">
        <w:t>. These findings</w:t>
      </w:r>
      <w:r w:rsidR="00FC633C">
        <w:t xml:space="preserve"> align</w:t>
      </w:r>
      <w:r w:rsidR="003A405D">
        <w:t xml:space="preserve"> </w:t>
      </w:r>
      <w:r w:rsidR="00FC633C">
        <w:t xml:space="preserve">with </w:t>
      </w:r>
      <w:proofErr w:type="spellStart"/>
      <w:r w:rsidR="00FC633C">
        <w:t>Gebauer</w:t>
      </w:r>
      <w:proofErr w:type="spellEnd"/>
      <w:r w:rsidR="00FC633C">
        <w:t xml:space="preserve"> et al.’s (2020) assertion that </w:t>
      </w:r>
      <w:r w:rsidR="00FC633C" w:rsidRPr="005669BA">
        <w:t xml:space="preserve">revenue </w:t>
      </w:r>
      <w:r w:rsidR="00FC633C">
        <w:t>generation is necessarily a “</w:t>
      </w:r>
      <w:r w:rsidR="00FC633C" w:rsidRPr="005669BA">
        <w:t>strategic priority</w:t>
      </w:r>
      <w:r w:rsidR="00FC633C">
        <w:t xml:space="preserve">” for digital firms in establishing a sustainable market presence. Firms that expand their market presence through digitalization without enhancing their revenues are locked in a </w:t>
      </w:r>
      <w:r w:rsidR="00FC633C" w:rsidRPr="005669BA">
        <w:t>digitalization paradox</w:t>
      </w:r>
      <w:r w:rsidR="00FC633C">
        <w:t xml:space="preserve"> (</w:t>
      </w:r>
      <w:proofErr w:type="spellStart"/>
      <w:r w:rsidR="00FC633C">
        <w:t>Gebauer</w:t>
      </w:r>
      <w:proofErr w:type="spellEnd"/>
      <w:r w:rsidR="00FC633C">
        <w:t xml:space="preserve"> et al. 2020). As our findings have shown, a key facet of this paradox involves a widespread misunderstanding concerning the relationships between digitalization, internationalization, and the complementary role of traditional, non-digital resources in serving customers and generating international revenues </w:t>
      </w:r>
    </w:p>
    <w:p w14:paraId="43893021" w14:textId="7585A576" w:rsidR="00FC633C" w:rsidRDefault="00FC633C" w:rsidP="00FC633C">
      <w:pPr>
        <w:spacing w:line="480" w:lineRule="auto"/>
        <w:ind w:firstLine="720"/>
        <w:jc w:val="both"/>
        <w:rPr>
          <w:b/>
          <w:bCs/>
        </w:rPr>
      </w:pPr>
      <w:r>
        <w:t>Research in entrepreneurship and management tends to portray digitalization as a transformative force that provides global connectivity and instant access to global markets (</w:t>
      </w:r>
      <w:r w:rsidR="009F0BE7">
        <w:t xml:space="preserve">Autio et al., 2021; </w:t>
      </w:r>
      <w:proofErr w:type="spellStart"/>
      <w:r>
        <w:t>Banalieva</w:t>
      </w:r>
      <w:proofErr w:type="spellEnd"/>
      <w:r>
        <w:t xml:space="preserve"> &amp; </w:t>
      </w:r>
      <w:proofErr w:type="spellStart"/>
      <w:r>
        <w:t>Dhanaraj</w:t>
      </w:r>
      <w:proofErr w:type="spellEnd"/>
      <w:r>
        <w:t>, 2019; Coviello et al., 2017;</w:t>
      </w:r>
      <w:r w:rsidR="00BD6740">
        <w:t xml:space="preserve"> </w:t>
      </w:r>
      <w:proofErr w:type="spellStart"/>
      <w:r w:rsidR="00BD6740">
        <w:t>Katsikeas</w:t>
      </w:r>
      <w:proofErr w:type="spellEnd"/>
      <w:r w:rsidR="00BD6740">
        <w:t xml:space="preserve"> et al., 2020;</w:t>
      </w:r>
      <w:r>
        <w:t xml:space="preserve"> Nambisan, 2017; </w:t>
      </w:r>
      <w:proofErr w:type="spellStart"/>
      <w:r>
        <w:t>Onetti</w:t>
      </w:r>
      <w:proofErr w:type="spellEnd"/>
      <w:r>
        <w:t xml:space="preserve"> et al., 2012). </w:t>
      </w:r>
      <w:r>
        <w:rPr>
          <w:lang w:val="en-CA"/>
        </w:rPr>
        <w:t>Our</w:t>
      </w:r>
      <w:r w:rsidRPr="00924273">
        <w:rPr>
          <w:lang w:val="en-CA"/>
        </w:rPr>
        <w:t xml:space="preserve"> findings suggest</w:t>
      </w:r>
      <w:r>
        <w:rPr>
          <w:lang w:val="en-CA"/>
        </w:rPr>
        <w:t xml:space="preserve"> that</w:t>
      </w:r>
      <w:r w:rsidRPr="00924273">
        <w:rPr>
          <w:lang w:val="en-CA"/>
        </w:rPr>
        <w:t xml:space="preserve"> the actual impact of digitalization is far more nuanced, involving some transformative facets</w:t>
      </w:r>
      <w:r>
        <w:rPr>
          <w:lang w:val="en-CA"/>
        </w:rPr>
        <w:t xml:space="preserve"> but also important sources of continuity. In the following, we discuss implications for theory and practice.</w:t>
      </w:r>
    </w:p>
    <w:p w14:paraId="01083A42" w14:textId="77777777" w:rsidR="00FC633C" w:rsidRPr="000E28AB" w:rsidRDefault="00FC633C" w:rsidP="00FC633C">
      <w:pPr>
        <w:pStyle w:val="Heading2"/>
      </w:pPr>
      <w:r w:rsidRPr="000E28AB">
        <w:t>Theoretical Implications</w:t>
      </w:r>
    </w:p>
    <w:p w14:paraId="06F24808" w14:textId="3992CBFD" w:rsidR="00A95ACA" w:rsidRDefault="002435E6" w:rsidP="00453338">
      <w:pPr>
        <w:spacing w:line="480" w:lineRule="auto"/>
        <w:ind w:firstLine="720"/>
        <w:jc w:val="both"/>
      </w:pPr>
      <w:r>
        <w:t xml:space="preserve">Whereas much of the current debate on digitalization </w:t>
      </w:r>
      <w:r w:rsidR="008A3C2F">
        <w:t>focuses on digital technologies and their</w:t>
      </w:r>
      <w:r>
        <w:t xml:space="preserve"> enabling effects (e.g., Adner et al., 2019; Autio et al., 2021; Chalmers et al., 2020; Huang et al, 2017; Nambisan, 2017), our study responds to recent calls for a more </w:t>
      </w:r>
      <w:r w:rsidR="00387E63">
        <w:t>complete and balanced view of digitalization</w:t>
      </w:r>
      <w:r w:rsidR="008A3C2F">
        <w:t xml:space="preserve"> </w:t>
      </w:r>
      <w:r w:rsidR="00387E63">
        <w:t xml:space="preserve">that takes into account firm-level challenges (Verbeke &amp; </w:t>
      </w:r>
      <w:proofErr w:type="spellStart"/>
      <w:r w:rsidR="00387E63">
        <w:t>Hutzschenreuter</w:t>
      </w:r>
      <w:proofErr w:type="spellEnd"/>
      <w:r w:rsidR="00387E63">
        <w:t>, 202</w:t>
      </w:r>
      <w:r w:rsidR="006E6E46">
        <w:t>1</w:t>
      </w:r>
      <w:r w:rsidR="00B30BC1">
        <w:t>; Westerlund, 2020</w:t>
      </w:r>
      <w:r w:rsidR="00387E63">
        <w:t xml:space="preserve">). </w:t>
      </w:r>
      <w:r w:rsidR="00FC633C">
        <w:t xml:space="preserve">Although digitalization may, in many cases, result in less geographically </w:t>
      </w:r>
      <w:r w:rsidR="00FC633C">
        <w:lastRenderedPageBreak/>
        <w:t>constrained business venturing (</w:t>
      </w:r>
      <w:r w:rsidR="007338C9">
        <w:t xml:space="preserve">Autio &amp; Zander, 2016; </w:t>
      </w:r>
      <w:r w:rsidR="00FC633C">
        <w:t>Nambisan, 2017), our study identifies an important caveat to this narrative of unbounded entrepreneurship.</w:t>
      </w:r>
      <w:r w:rsidR="000729EC">
        <w:t xml:space="preserve"> </w:t>
      </w:r>
    </w:p>
    <w:p w14:paraId="04BB685A" w14:textId="317DBA85" w:rsidR="00116999" w:rsidRDefault="000729EC" w:rsidP="00453338">
      <w:pPr>
        <w:spacing w:line="480" w:lineRule="auto"/>
        <w:ind w:firstLine="720"/>
        <w:jc w:val="both"/>
      </w:pPr>
      <w:r>
        <w:t xml:space="preserve">Specifically, </w:t>
      </w:r>
      <w:r w:rsidR="00E77A02">
        <w:t xml:space="preserve">we </w:t>
      </w:r>
      <w:r>
        <w:t xml:space="preserve">extend and enhance existing conceptions of asset (Helfat et al., 2007) and resource (Sirmon et al, 2007, 2011) orchestration by </w:t>
      </w:r>
      <w:r w:rsidR="00E77A02">
        <w:t>highlighting</w:t>
      </w:r>
      <w:r>
        <w:t xml:space="preserve"> the unexpected degree to which digital ventures are often compelled to simultaneously manage traditional, non-technical resources with </w:t>
      </w:r>
      <w:r w:rsidR="00372B5F">
        <w:t xml:space="preserve">the </w:t>
      </w:r>
      <w:r>
        <w:t xml:space="preserve">same zeal as cutting-edge digital resources. Digitalization may </w:t>
      </w:r>
      <w:r w:rsidR="00F41E93">
        <w:t>bring</w:t>
      </w:r>
      <w:r>
        <w:t xml:space="preserve"> many </w:t>
      </w:r>
      <w:r w:rsidR="00F41E93">
        <w:t xml:space="preserve">promising, </w:t>
      </w:r>
      <w:r>
        <w:t>new</w:t>
      </w:r>
      <w:r w:rsidR="00F41E93">
        <w:t xml:space="preserve"> digital </w:t>
      </w:r>
      <w:r w:rsidR="00A47E3F">
        <w:t>ventures</w:t>
      </w:r>
      <w:r>
        <w:t xml:space="preserve"> to the marketplace, but the</w:t>
      </w:r>
      <w:r w:rsidR="00E36F43">
        <w:t xml:space="preserve"> </w:t>
      </w:r>
      <w:r>
        <w:t xml:space="preserve">capacity to orchestrate non-digital resources is often the linchpin that enables such firms </w:t>
      </w:r>
      <w:r w:rsidR="00A47E3F">
        <w:t xml:space="preserve">to </w:t>
      </w:r>
      <w:r>
        <w:t xml:space="preserve">survive </w:t>
      </w:r>
      <w:r w:rsidR="00E36F43">
        <w:t>and expand</w:t>
      </w:r>
      <w:r w:rsidR="00F41E93">
        <w:t xml:space="preserve">. </w:t>
      </w:r>
      <w:r w:rsidR="00A95ACA">
        <w:t>O</w:t>
      </w:r>
      <w:r w:rsidR="00F41E93">
        <w:t>ur study contributes much-needed nuance concerning</w:t>
      </w:r>
      <w:r w:rsidR="00FC633C">
        <w:t xml:space="preserve"> the complementary role of digital and non-digital </w:t>
      </w:r>
      <w:r w:rsidR="009F0BE7">
        <w:t>resources</w:t>
      </w:r>
      <w:r w:rsidR="00F41E93">
        <w:t xml:space="preserve">. Specifically, we develop and test new theory, positing that </w:t>
      </w:r>
      <w:r w:rsidR="00453338">
        <w:t>differences in customer characteristics across countries</w:t>
      </w:r>
      <w:r w:rsidR="00FC633C">
        <w:t>, and the degree to which a firm’s business</w:t>
      </w:r>
      <w:r w:rsidR="00453338">
        <w:t xml:space="preserve"> processes are</w:t>
      </w:r>
      <w:r w:rsidR="00FC633C">
        <w:t xml:space="preserve"> digitalized, are important determinants of whether, and to what extent, digital firms can take advantage of the international opportunities afforded by digital technologies. </w:t>
      </w:r>
    </w:p>
    <w:p w14:paraId="0764B47E" w14:textId="1A85407C" w:rsidR="00B30BC1" w:rsidRDefault="00453338" w:rsidP="008A3C2F">
      <w:pPr>
        <w:spacing w:line="480" w:lineRule="auto"/>
        <w:ind w:firstLine="720"/>
        <w:jc w:val="both"/>
      </w:pPr>
      <w:r>
        <w:t xml:space="preserve">First, many digital firms (particularly those serving B2C markets) face considerable demand heterogeneity across countries, which creates costly requirements for local adaptation (Cavusgil et al., 1993; </w:t>
      </w:r>
      <w:r w:rsidR="00116999">
        <w:t xml:space="preserve">Sapienza et al., 2006; </w:t>
      </w:r>
      <w:r>
        <w:t>Zhang et al., 2019)</w:t>
      </w:r>
      <w:r w:rsidR="00387E63">
        <w:t xml:space="preserve">. This </w:t>
      </w:r>
      <w:r>
        <w:t xml:space="preserve">undermines the </w:t>
      </w:r>
      <w:r w:rsidR="00387E63">
        <w:t xml:space="preserve">presumed </w:t>
      </w:r>
      <w:r>
        <w:t xml:space="preserve">ability of </w:t>
      </w:r>
      <w:r w:rsidR="008A3C2F">
        <w:t>these</w:t>
      </w:r>
      <w:r>
        <w:t xml:space="preserve"> firms to serve foreign markets instantly and with minimal incremental resource</w:t>
      </w:r>
      <w:r w:rsidR="00387E63">
        <w:t xml:space="preserve"> commitments</w:t>
      </w:r>
      <w:r w:rsidR="00ED672C">
        <w:t xml:space="preserve"> (cf. Autio &amp; Zander, 2016; </w:t>
      </w:r>
      <w:r w:rsidR="008E6CF0">
        <w:t xml:space="preserve">Chen et al., 2019; </w:t>
      </w:r>
      <w:r w:rsidR="00ED672C">
        <w:t>Nambisan, 2017)</w:t>
      </w:r>
      <w:r>
        <w:t xml:space="preserve">. </w:t>
      </w:r>
      <w:r w:rsidR="00B30BC1">
        <w:t>A key contribution of our theorization concerning the challenges of demand heterogeneity involves incorporating insights developed in marketing management</w:t>
      </w:r>
      <w:r w:rsidR="008803D8">
        <w:t xml:space="preserve"> (</w:t>
      </w:r>
      <w:proofErr w:type="spellStart"/>
      <w:r w:rsidR="00F02913">
        <w:t>Birnik</w:t>
      </w:r>
      <w:proofErr w:type="spellEnd"/>
      <w:r w:rsidR="00F02913">
        <w:t xml:space="preserve"> &amp; Bowman, 2007; Cavusgil et al., 1993; </w:t>
      </w:r>
      <w:proofErr w:type="spellStart"/>
      <w:r w:rsidR="0024773F">
        <w:t>Mandler</w:t>
      </w:r>
      <w:proofErr w:type="spellEnd"/>
      <w:r w:rsidR="0024773F">
        <w:t xml:space="preserve"> et al., 2021</w:t>
      </w:r>
      <w:r w:rsidR="008803D8">
        <w:t>)</w:t>
      </w:r>
      <w:r w:rsidR="00B30BC1">
        <w:t xml:space="preserve">, including the observation that digitalization exhibits considerably less uniformity than has often been assumed, reflecting firm-specific and market-specific idiosyncrasies that drive highly heterogenous internationalization strategies and outcomes (e.g., </w:t>
      </w:r>
      <w:proofErr w:type="spellStart"/>
      <w:r w:rsidR="00B30BC1" w:rsidRPr="00B30BC1">
        <w:lastRenderedPageBreak/>
        <w:t>Vadana</w:t>
      </w:r>
      <w:proofErr w:type="spellEnd"/>
      <w:r w:rsidR="00B30BC1" w:rsidRPr="00B30BC1">
        <w:t xml:space="preserve">, </w:t>
      </w:r>
      <w:r w:rsidR="00B30BC1">
        <w:t>et al.,</w:t>
      </w:r>
      <w:r w:rsidR="00B30BC1" w:rsidRPr="00B30BC1">
        <w:t xml:space="preserve"> 2019</w:t>
      </w:r>
      <w:r w:rsidR="00B30BC1">
        <w:t>). In this regard, o</w:t>
      </w:r>
      <w:r w:rsidR="00B30BC1" w:rsidRPr="00B30BC1">
        <w:t xml:space="preserve">ur research complements recent work by </w:t>
      </w:r>
      <w:proofErr w:type="spellStart"/>
      <w:r w:rsidR="00B30BC1" w:rsidRPr="00B30BC1">
        <w:t>Shaheer</w:t>
      </w:r>
      <w:proofErr w:type="spellEnd"/>
      <w:r w:rsidR="00B30BC1" w:rsidRPr="00B30BC1">
        <w:t xml:space="preserve"> and Li (2020), which examined differences in the international market penetration of fitness tracking apps. Whereas their study identified CAGE distances between countries as an important source of variance among largely homogenous digital products, our study focuses instead on </w:t>
      </w:r>
      <w:r w:rsidR="00E3498C">
        <w:t xml:space="preserve">variance resulting from the characteristics of </w:t>
      </w:r>
      <w:r w:rsidR="00B30BC1" w:rsidRPr="00B30BC1">
        <w:t xml:space="preserve">digital ventures </w:t>
      </w:r>
      <w:r w:rsidR="00E3498C">
        <w:t>and their offerings.</w:t>
      </w:r>
    </w:p>
    <w:p w14:paraId="239F837D" w14:textId="58F715A2" w:rsidR="00B30BC1" w:rsidRDefault="00453338" w:rsidP="008A3C2F">
      <w:pPr>
        <w:spacing w:line="480" w:lineRule="auto"/>
        <w:ind w:firstLine="720"/>
        <w:jc w:val="both"/>
      </w:pPr>
      <w:r>
        <w:t xml:space="preserve">Second, </w:t>
      </w:r>
      <w:r w:rsidR="00B3416D">
        <w:t xml:space="preserve">we highlight that </w:t>
      </w:r>
      <w:r>
        <w:t xml:space="preserve">digital firms </w:t>
      </w:r>
      <w:r w:rsidR="00387E63">
        <w:t>often</w:t>
      </w:r>
      <w:r>
        <w:t xml:space="preserve"> experience supply-side constraints due to their continued reliance on complementary resources</w:t>
      </w:r>
      <w:r w:rsidR="00FC7F0A">
        <w:t xml:space="preserve">. </w:t>
      </w:r>
      <w:r w:rsidR="009A39F4">
        <w:t>When</w:t>
      </w:r>
      <w:r w:rsidR="00FC7F0A">
        <w:t xml:space="preserve"> these complementary resources </w:t>
      </w:r>
      <w:r>
        <w:t>are not fully digitalized</w:t>
      </w:r>
      <w:r w:rsidR="009A39F4">
        <w:t>, they</w:t>
      </w:r>
      <w:r w:rsidR="00FC7F0A">
        <w:t xml:space="preserve"> do not conform to the software-specific logic of zero marginal cost and unlimited scale </w:t>
      </w:r>
      <w:r w:rsidR="008A3C2F">
        <w:t xml:space="preserve">(cf. Bharadwaj et al., 2013; Shapiro &amp; Varian, 1999). </w:t>
      </w:r>
      <w:r w:rsidR="00ED672C">
        <w:t xml:space="preserve">Thus, even though </w:t>
      </w:r>
      <w:r w:rsidR="00E3498C">
        <w:t>digital resources may be scale free</w:t>
      </w:r>
      <w:r w:rsidR="00B3416D">
        <w:t xml:space="preserve"> (Adner et al., 2019; Huang et al., 2017; </w:t>
      </w:r>
      <w:r w:rsidR="00E3498C">
        <w:t>Levinthal &amp; Wu, 2010</w:t>
      </w:r>
      <w:r w:rsidR="00B3416D">
        <w:t>)</w:t>
      </w:r>
      <w:r w:rsidR="00ED672C">
        <w:t xml:space="preserve">, growing a </w:t>
      </w:r>
      <w:r w:rsidR="00E3498C">
        <w:t>revenue-generating</w:t>
      </w:r>
      <w:r w:rsidR="00ED672C">
        <w:t xml:space="preserve"> business internationally</w:t>
      </w:r>
      <w:r w:rsidR="00B30BC1">
        <w:t xml:space="preserve"> poses significant supply-side challenges</w:t>
      </w:r>
      <w:r w:rsidR="002546D3">
        <w:t>,</w:t>
      </w:r>
      <w:r w:rsidR="00B30BC1">
        <w:t xml:space="preserve"> and many</w:t>
      </w:r>
      <w:r w:rsidR="001C4AF4">
        <w:t xml:space="preserve"> new digital </w:t>
      </w:r>
      <w:r w:rsidR="00B3416D">
        <w:t>ventures</w:t>
      </w:r>
      <w:r w:rsidR="00B30BC1">
        <w:t xml:space="preserve"> are ill-equipped to manage processes attendant to the internationalization of online offerings (Westerlund, 2020).</w:t>
      </w:r>
    </w:p>
    <w:p w14:paraId="33AFB3DE" w14:textId="7225E2A7" w:rsidR="00FC633C" w:rsidRDefault="00FC633C" w:rsidP="00D70EC4">
      <w:pPr>
        <w:spacing w:line="480" w:lineRule="auto"/>
        <w:ind w:firstLine="720"/>
        <w:jc w:val="both"/>
      </w:pPr>
      <w:r>
        <w:t xml:space="preserve">Our empirical findings support these arguments, with large differences in pre-IPO internationalization based on business characteristics. </w:t>
      </w:r>
      <w:r w:rsidR="00D70EC4">
        <w:t>Interestingly, the internationalization trajectories of many digital firms resemble</w:t>
      </w:r>
      <w:r>
        <w:t xml:space="preserve"> those observed among non-digital ventures in the past (e.g.</w:t>
      </w:r>
      <w:r w:rsidR="008803D8">
        <w:t>,</w:t>
      </w:r>
      <w:r>
        <w:t xml:space="preserve"> Carpenter et al., 2003), i.e.</w:t>
      </w:r>
      <w:r w:rsidR="00B3416D">
        <w:t>,</w:t>
      </w:r>
      <w:r>
        <w:t xml:space="preserve"> they </w:t>
      </w:r>
      <w:r w:rsidR="009F0BE7">
        <w:t>develop their</w:t>
      </w:r>
      <w:r>
        <w:t xml:space="preserve"> domestic market</w:t>
      </w:r>
      <w:r w:rsidR="009F0BE7">
        <w:t xml:space="preserve"> presence first,</w:t>
      </w:r>
      <w:r>
        <w:t xml:space="preserve"> before venturing internationally. </w:t>
      </w:r>
      <w:r w:rsidR="00EE5875">
        <w:t>For instance, among the</w:t>
      </w:r>
      <w:r w:rsidRPr="00D408C7">
        <w:t xml:space="preserve"> digital firms</w:t>
      </w:r>
      <w:r w:rsidR="00EE5875">
        <w:t xml:space="preserve"> in our sample</w:t>
      </w:r>
      <w:r w:rsidRPr="00D408C7">
        <w:t xml:space="preserve">, almost 30 percent had </w:t>
      </w:r>
      <w:r w:rsidRPr="00D70EC4">
        <w:rPr>
          <w:i/>
          <w:iCs/>
        </w:rPr>
        <w:t>no</w:t>
      </w:r>
      <w:r w:rsidRPr="00D408C7">
        <w:t xml:space="preserve"> foreign sales when they filed for I</w:t>
      </w:r>
      <w:r>
        <w:t>PO</w:t>
      </w:r>
      <w:r w:rsidR="00B3416D">
        <w:t>,</w:t>
      </w:r>
      <w:r w:rsidR="0000557B">
        <w:t xml:space="preserve"> </w:t>
      </w:r>
      <w:r w:rsidRPr="00D408C7">
        <w:t xml:space="preserve">at a time when the median firm was already nine years old and generated $100 million in revenues. </w:t>
      </w:r>
      <w:r w:rsidR="006523FC">
        <w:t>Our data also suggest that the extent of internationalization remains relatively limited</w:t>
      </w:r>
      <w:r w:rsidR="00E45FA3">
        <w:t>—</w:t>
      </w:r>
      <w:r w:rsidR="006523FC">
        <w:t xml:space="preserve">even after excluding </w:t>
      </w:r>
      <w:r w:rsidR="00CA7DD3">
        <w:t xml:space="preserve">the </w:t>
      </w:r>
      <w:r w:rsidR="006523FC">
        <w:t xml:space="preserve">purely domestic firms, the median </w:t>
      </w:r>
      <w:r w:rsidR="00B3416D">
        <w:t>foreign sales ratio</w:t>
      </w:r>
      <w:r w:rsidR="006523FC">
        <w:t xml:space="preserve"> at IPO in our sample was only 21 percent</w:t>
      </w:r>
      <w:r w:rsidR="0000557B">
        <w:t>—</w:t>
      </w:r>
      <w:r w:rsidR="006523FC">
        <w:t>which is consistent with our assertion that many digital ventures face significant barriers to internationalization.</w:t>
      </w:r>
    </w:p>
    <w:p w14:paraId="7BC2F33C" w14:textId="4CEF896F" w:rsidR="00FC633C" w:rsidRDefault="00FC633C" w:rsidP="00FC633C">
      <w:pPr>
        <w:spacing w:line="480" w:lineRule="auto"/>
        <w:ind w:firstLine="720"/>
        <w:jc w:val="both"/>
      </w:pPr>
      <w:r>
        <w:lastRenderedPageBreak/>
        <w:t xml:space="preserve">We also find that digital firms with less scalable </w:t>
      </w:r>
      <w:r w:rsidRPr="008A3C2F">
        <w:t>business models</w:t>
      </w:r>
      <w:r>
        <w:t xml:space="preserve"> may still achieve high levels of internationalization by engaging in what we term </w:t>
      </w:r>
      <w:r w:rsidRPr="00F42732">
        <w:rPr>
          <w:i/>
          <w:iCs/>
        </w:rPr>
        <w:t>compensatory acquisitions</w:t>
      </w:r>
      <w:r>
        <w:t xml:space="preserve">. Foreign acquisitions allow digital firms to overcome </w:t>
      </w:r>
      <w:r w:rsidR="008A3C2F">
        <w:t>internationalization challenges</w:t>
      </w:r>
      <w:r>
        <w:t xml:space="preserve"> by providing speedier access to complementary resources (Teece, 2018). Given the well-known risks associated with foreign acquisitions, the willingness of digital firms to engage in such transactions supports our broader point that </w:t>
      </w:r>
      <w:r w:rsidRPr="008803D8">
        <w:rPr>
          <w:i/>
          <w:iCs/>
        </w:rPr>
        <w:t>organic</w:t>
      </w:r>
      <w:r>
        <w:t xml:space="preserve"> international expansion remains difficult </w:t>
      </w:r>
      <w:r w:rsidR="002546D3">
        <w:t>in the digital age</w:t>
      </w:r>
      <w:r>
        <w:t xml:space="preserve">. This finding is important, because it provides new insights on the question of entry modes used by digital firms. Some scholars have argued that the possibility of serving foreign markets remotely through digital channels </w:t>
      </w:r>
      <w:r w:rsidR="00CF6FBC">
        <w:t>dramatically</w:t>
      </w:r>
      <w:r w:rsidR="007172E1">
        <w:t xml:space="preserve"> </w:t>
      </w:r>
      <w:r>
        <w:t>reduce</w:t>
      </w:r>
      <w:r w:rsidR="00CF6FBC">
        <w:t>s</w:t>
      </w:r>
      <w:r>
        <w:t xml:space="preserve"> the need for market-seeking foreign direct investment, paving the way for ‘asset-light’ internationalization (</w:t>
      </w:r>
      <w:r w:rsidR="007172E1">
        <w:t xml:space="preserve">Autio &amp; Zander, 2016; </w:t>
      </w:r>
      <w:bookmarkStart w:id="78" w:name="_Hlk89864958"/>
      <w:proofErr w:type="spellStart"/>
      <w:r>
        <w:t>Banalieva</w:t>
      </w:r>
      <w:proofErr w:type="spellEnd"/>
      <w:r>
        <w:t xml:space="preserve"> &amp; </w:t>
      </w:r>
      <w:proofErr w:type="spellStart"/>
      <w:r>
        <w:t>Dhanaraj</w:t>
      </w:r>
      <w:proofErr w:type="spellEnd"/>
      <w:r>
        <w:t>, 2019</w:t>
      </w:r>
      <w:bookmarkEnd w:id="78"/>
      <w:r>
        <w:t>). However, our findings indicate that market-seeking acquisitions play an important role in supporting the foreign expansion of digital firms, suggesting that asset-light internationalization should not be taken for granted in the digital economy.</w:t>
      </w:r>
    </w:p>
    <w:p w14:paraId="00FA30D9" w14:textId="02944A4E" w:rsidR="00FC633C" w:rsidRPr="00E92467" w:rsidRDefault="00FC633C" w:rsidP="00FC633C">
      <w:pPr>
        <w:spacing w:line="480" w:lineRule="auto"/>
        <w:ind w:firstLine="720"/>
        <w:jc w:val="both"/>
      </w:pPr>
      <w:r>
        <w:t xml:space="preserve">Empirically, we </w:t>
      </w:r>
      <w:r w:rsidR="00194154">
        <w:t xml:space="preserve">further contribute to research by </w:t>
      </w:r>
      <w:r>
        <w:t>introduc</w:t>
      </w:r>
      <w:r w:rsidR="00194154">
        <w:t>ing</w:t>
      </w:r>
      <w:r>
        <w:t xml:space="preserve"> </w:t>
      </w:r>
      <w:r>
        <w:rPr>
          <w:i/>
          <w:iCs/>
        </w:rPr>
        <w:t>gross margin</w:t>
      </w:r>
      <w:r>
        <w:t xml:space="preserve"> as an effective proxy </w:t>
      </w:r>
      <w:r w:rsidR="00977098">
        <w:t>to compare</w:t>
      </w:r>
      <w:r>
        <w:t xml:space="preserve"> the degree of digitalization</w:t>
      </w:r>
      <w:r w:rsidR="007172E1">
        <w:t xml:space="preserve"> </w:t>
      </w:r>
      <w:r w:rsidR="00977098">
        <w:t xml:space="preserve">among </w:t>
      </w:r>
      <w:r w:rsidR="007172E1">
        <w:t>digital firm</w:t>
      </w:r>
      <w:r w:rsidR="00977098">
        <w:t>s</w:t>
      </w:r>
      <w:r>
        <w:t xml:space="preserve">. Venture capitalists view high gross margins as an indicator of a ‘software-like’ business that can be scaled rapidly (Hoffman &amp; Yeh, 2018; Sacks, 2019). Building on this </w:t>
      </w:r>
      <w:r w:rsidR="00977098">
        <w:t xml:space="preserve">practitioner </w:t>
      </w:r>
      <w:r>
        <w:t>insight</w:t>
      </w:r>
      <w:r w:rsidR="00517B81">
        <w:t xml:space="preserve">, which </w:t>
      </w:r>
      <w:r w:rsidR="00272E85">
        <w:t xml:space="preserve">is consistent with theoretical </w:t>
      </w:r>
      <w:r w:rsidR="000B0ABF">
        <w:t>arguments made by scholars</w:t>
      </w:r>
      <w:r>
        <w:t xml:space="preserve"> (e.g., Chalmers et al., 2020; Shapiro &amp; Varian, 199</w:t>
      </w:r>
      <w:r w:rsidR="00FC7F0A">
        <w:t>9</w:t>
      </w:r>
      <w:r>
        <w:t>)</w:t>
      </w:r>
      <w:r w:rsidR="00517B81">
        <w:t>,</w:t>
      </w:r>
      <w:r>
        <w:t xml:space="preserve"> we show that gross margins are a useful tool to distinguish between more and less digitalized business</w:t>
      </w:r>
      <w:r w:rsidR="002546D3">
        <w:t xml:space="preserve"> models</w:t>
      </w:r>
      <w:r>
        <w:t>. While there are other measures of a firm’s digitalization (such as the share of online transactions for retail firms),</w:t>
      </w:r>
      <w:r w:rsidR="007172E1">
        <w:t xml:space="preserve"> we</w:t>
      </w:r>
      <w:r>
        <w:t xml:space="preserve"> believe that the use of gross margins is a valuable addition to entrepreneurship research because it </w:t>
      </w:r>
      <w:r w:rsidR="00D3703E">
        <w:t xml:space="preserve">captures important </w:t>
      </w:r>
      <w:r>
        <w:t xml:space="preserve">business </w:t>
      </w:r>
      <w:r w:rsidR="00D3703E">
        <w:t xml:space="preserve">characteristics </w:t>
      </w:r>
      <w:r>
        <w:t xml:space="preserve">in an accessible and comparable </w:t>
      </w:r>
      <w:r>
        <w:lastRenderedPageBreak/>
        <w:t xml:space="preserve">metric that can be used in larger-sample analyses, complementing </w:t>
      </w:r>
      <w:r w:rsidR="00123BA7">
        <w:t xml:space="preserve">existing </w:t>
      </w:r>
      <w:r>
        <w:t xml:space="preserve">qualitative small-N studies (e.g., </w:t>
      </w:r>
      <w:proofErr w:type="spellStart"/>
      <w:r>
        <w:t>Domurath</w:t>
      </w:r>
      <w:proofErr w:type="spellEnd"/>
      <w:r>
        <w:t xml:space="preserve"> et al., 2020; Monaghan &amp; Tippman, 2018; </w:t>
      </w:r>
      <w:proofErr w:type="spellStart"/>
      <w:r>
        <w:t>Wentrup</w:t>
      </w:r>
      <w:proofErr w:type="spellEnd"/>
      <w:r>
        <w:t>, 2016).</w:t>
      </w:r>
    </w:p>
    <w:p w14:paraId="1930A59D" w14:textId="74D1392B" w:rsidR="00FC633C" w:rsidRPr="00D408C7" w:rsidRDefault="00FC633C" w:rsidP="00FC633C">
      <w:pPr>
        <w:pStyle w:val="Heading2"/>
      </w:pPr>
      <w:r w:rsidRPr="00D408C7">
        <w:t>Implications for Practice</w:t>
      </w:r>
    </w:p>
    <w:p w14:paraId="041EA0C0" w14:textId="1131286C" w:rsidR="00C872AF" w:rsidRDefault="00C872AF" w:rsidP="009A39F4">
      <w:pPr>
        <w:spacing w:line="480" w:lineRule="auto"/>
        <w:ind w:firstLine="720"/>
        <w:jc w:val="both"/>
        <w:rPr>
          <w:bCs/>
        </w:rPr>
      </w:pPr>
      <w:r>
        <w:rPr>
          <w:bCs/>
        </w:rPr>
        <w:t xml:space="preserve">Our findings also have important implications for a multiplicity of practitioner-stakeholders. For entrepreneurs and founding teams, the identification and explication of complementary non-digital resources among digital firms elucidates the inherent challenges accompanying efforts to scale digital firms – particularly those with B2C-focused business models. Technology-intensive start-ups should evaluate the extent to which their respective efforts to internationalize are dependent upon the scalability of complementary, non-digital resources and then address shortfalls in expertise through proactive staffing initiatives. In instances of glaring deficiencies, </w:t>
      </w:r>
      <w:r w:rsidR="00DE6974">
        <w:rPr>
          <w:bCs/>
        </w:rPr>
        <w:t>digital ventures</w:t>
      </w:r>
      <w:r>
        <w:rPr>
          <w:bCs/>
        </w:rPr>
        <w:t xml:space="preserve"> </w:t>
      </w:r>
      <w:r w:rsidR="00DE6974">
        <w:rPr>
          <w:bCs/>
        </w:rPr>
        <w:t>should explore the possibility of acquisitions or</w:t>
      </w:r>
      <w:r>
        <w:rPr>
          <w:bCs/>
        </w:rPr>
        <w:t xml:space="preserve"> strategic alliances </w:t>
      </w:r>
      <w:r w:rsidR="00DE6974">
        <w:rPr>
          <w:bCs/>
        </w:rPr>
        <w:t>that can provide the complementary resources needed to effectively create and capture value in foreign markets</w:t>
      </w:r>
      <w:r>
        <w:rPr>
          <w:bCs/>
        </w:rPr>
        <w:t xml:space="preserve">. </w:t>
      </w:r>
    </w:p>
    <w:p w14:paraId="260985BF" w14:textId="2B18D791" w:rsidR="00C872AF" w:rsidRDefault="00C872AF" w:rsidP="00C872AF">
      <w:pPr>
        <w:spacing w:line="480" w:lineRule="auto"/>
        <w:jc w:val="both"/>
      </w:pPr>
      <w:r>
        <w:rPr>
          <w:bCs/>
        </w:rPr>
        <w:tab/>
        <w:t>Similarly, investors would be well-served by looking more closely at the non-digital drivers of digital firm</w:t>
      </w:r>
      <w:r w:rsidR="00E8135A">
        <w:rPr>
          <w:bCs/>
        </w:rPr>
        <w:t>s’</w:t>
      </w:r>
      <w:r>
        <w:rPr>
          <w:bCs/>
        </w:rPr>
        <w:t xml:space="preserve"> success or failure. A</w:t>
      </w:r>
      <w:r w:rsidRPr="00EB70EE">
        <w:rPr>
          <w:bCs/>
        </w:rPr>
        <w:t xml:space="preserve">s noted by </w:t>
      </w:r>
      <w:bookmarkStart w:id="79" w:name="_Hlk89864981"/>
      <w:r>
        <w:rPr>
          <w:bCs/>
        </w:rPr>
        <w:t>Cornell and Damodaran (2020)</w:t>
      </w:r>
      <w:bookmarkEnd w:id="79"/>
      <w:r>
        <w:rPr>
          <w:bCs/>
        </w:rPr>
        <w:t xml:space="preserve">, investors continue to suffer from a “big market delusion” when valuing digital ventures, as they systematically overestimate the addressable market size. This phenomenon is fueled by a technology-centric mindset that underestimates the challenges of scaling digital businesses across borders. Our findings suggest that investors should look more closely at the underlying business model of digital firms in order to </w:t>
      </w:r>
      <w:r w:rsidR="00E8135A">
        <w:rPr>
          <w:bCs/>
        </w:rPr>
        <w:t>understand</w:t>
      </w:r>
      <w:r>
        <w:rPr>
          <w:bCs/>
        </w:rPr>
        <w:t xml:space="preserve"> the extent to which a given firm may rely upon complementary, non-digital resources in achieving an international presence. One specific way investors can better assess risks and returns is to scrutinize gross margins. As our study demonstrates, a firm’s reliance upon less-scalable, non-digital resources is likely to be manifested in sharply lower margins, </w:t>
      </w:r>
      <w:r>
        <w:rPr>
          <w:bCs/>
        </w:rPr>
        <w:lastRenderedPageBreak/>
        <w:t>especially among B2C firms. Supply chain disruptions throughout the Covid-19 pandemic have underscored dramatically the extent to which the management of traditional, non-digital resources can impose a crippling burden upon new and small firms (</w:t>
      </w:r>
      <w:bookmarkStart w:id="80" w:name="_Hlk89864991"/>
      <w:r>
        <w:rPr>
          <w:bCs/>
        </w:rPr>
        <w:t>Passman, 2021</w:t>
      </w:r>
      <w:bookmarkEnd w:id="80"/>
      <w:r>
        <w:rPr>
          <w:bCs/>
        </w:rPr>
        <w:t xml:space="preserve">). This feature alone does not render a firm unattractive for potential investment, but it should influence international growth expectations and </w:t>
      </w:r>
      <w:r>
        <w:t>should be priced into valuation models.</w:t>
      </w:r>
    </w:p>
    <w:p w14:paraId="4FB9321B" w14:textId="77777777" w:rsidR="00FC633C" w:rsidRPr="00B019AD" w:rsidRDefault="00FC633C" w:rsidP="00FC633C">
      <w:pPr>
        <w:pStyle w:val="Heading2"/>
        <w:rPr>
          <w:i/>
        </w:rPr>
      </w:pPr>
      <w:r w:rsidRPr="005B50BE">
        <w:t>Limitations and Opportunities</w:t>
      </w:r>
    </w:p>
    <w:p w14:paraId="0EC404F0" w14:textId="73B24900" w:rsidR="00FC633C" w:rsidRDefault="00FC633C" w:rsidP="00FC633C">
      <w:pPr>
        <w:spacing w:line="480" w:lineRule="auto"/>
        <w:ind w:firstLine="720"/>
        <w:jc w:val="both"/>
      </w:pPr>
      <w:r>
        <w:t xml:space="preserve">As with all studies, our research design choices created limitations. </w:t>
      </w:r>
      <w:r w:rsidR="00DC364C">
        <w:t>In seeking to explain</w:t>
      </w:r>
      <w:r w:rsidR="007553D5">
        <w:t xml:space="preserve"> </w:t>
      </w:r>
      <w:r w:rsidR="00DC364C">
        <w:t>heterogeneity in the internationalization of digital ventures, we have focused on two important factors that</w:t>
      </w:r>
      <w:r w:rsidR="007553D5">
        <w:t xml:space="preserve"> had not been sufficiently considered in prior research</w:t>
      </w:r>
      <w:r w:rsidR="00DC364C">
        <w:t xml:space="preserve">: Differences in customer characteristics </w:t>
      </w:r>
      <w:r w:rsidR="007553D5">
        <w:t xml:space="preserve">(and the resulting demand heterogeneity) and digital firms’ dependence on non-digital complementary resources. </w:t>
      </w:r>
      <w:r w:rsidR="00522C15">
        <w:t>W</w:t>
      </w:r>
      <w:r>
        <w:t xml:space="preserve">e do not claim that </w:t>
      </w:r>
      <w:r w:rsidR="007553D5">
        <w:t xml:space="preserve">these </w:t>
      </w:r>
      <w:r>
        <w:t xml:space="preserve">are the </w:t>
      </w:r>
      <w:r w:rsidRPr="008B6053">
        <w:rPr>
          <w:i/>
          <w:iCs/>
        </w:rPr>
        <w:t>only</w:t>
      </w:r>
      <w:r>
        <w:t xml:space="preserve"> determinants of diverging internationalization patterns. </w:t>
      </w:r>
      <w:r w:rsidR="007553D5">
        <w:t>For instance, a</w:t>
      </w:r>
      <w:r>
        <w:t>ttributes</w:t>
      </w:r>
      <w:r w:rsidR="002B72D6">
        <w:t xml:space="preserve"> and behaviors</w:t>
      </w:r>
      <w:r>
        <w:t xml:space="preserve"> of individual entrepreneurs</w:t>
      </w:r>
      <w:r w:rsidR="007553D5">
        <w:t xml:space="preserve"> and management teams</w:t>
      </w:r>
      <w:r>
        <w:t xml:space="preserve"> are also important (</w:t>
      </w:r>
      <w:proofErr w:type="spellStart"/>
      <w:r w:rsidR="007553D5">
        <w:t>Domurath</w:t>
      </w:r>
      <w:proofErr w:type="spellEnd"/>
      <w:r w:rsidR="007553D5">
        <w:t xml:space="preserve"> et al., 2020</w:t>
      </w:r>
      <w:r w:rsidR="002B72D6">
        <w:t xml:space="preserve">; Jafari-Sadeghi, </w:t>
      </w:r>
      <w:proofErr w:type="spellStart"/>
      <w:r w:rsidR="002B72D6">
        <w:t>Mahdiraji</w:t>
      </w:r>
      <w:proofErr w:type="spellEnd"/>
      <w:r w:rsidR="002B72D6">
        <w:t xml:space="preserve">, </w:t>
      </w:r>
      <w:proofErr w:type="spellStart"/>
      <w:r w:rsidR="002B72D6">
        <w:t>Devalle</w:t>
      </w:r>
      <w:proofErr w:type="spellEnd"/>
      <w:r w:rsidR="002B72D6">
        <w:t xml:space="preserve"> &amp; </w:t>
      </w:r>
      <w:proofErr w:type="spellStart"/>
      <w:r w:rsidR="002B72D6">
        <w:t>Pellicello</w:t>
      </w:r>
      <w:proofErr w:type="spellEnd"/>
      <w:r w:rsidR="002B72D6">
        <w:t>, 2022</w:t>
      </w:r>
      <w:r>
        <w:t>)</w:t>
      </w:r>
      <w:r w:rsidR="00130F6D">
        <w:t>, as are the</w:t>
      </w:r>
      <w:r w:rsidR="00372B5F">
        <w:t>ir decision-making processes – including reliance on effectuation or causation logic – and commitment to foreign markets</w:t>
      </w:r>
      <w:r w:rsidR="0035623F">
        <w:t xml:space="preserve"> (</w:t>
      </w:r>
      <w:bookmarkStart w:id="81" w:name="_Hlk89865011"/>
      <w:r w:rsidR="0035623F">
        <w:t>Crick &amp; Crick, 2014; Crick, Crick &amp; Chaudhry, 2020</w:t>
      </w:r>
      <w:bookmarkEnd w:id="81"/>
      <w:r w:rsidR="0035623F">
        <w:t>)</w:t>
      </w:r>
      <w:r>
        <w:t>. Further, we do not explicitly consider macro-environmental enablers (</w:t>
      </w:r>
      <w:bookmarkStart w:id="82" w:name="_Hlk89865083"/>
      <w:r>
        <w:t>Davidsson, 2015</w:t>
      </w:r>
      <w:bookmarkEnd w:id="82"/>
      <w:r>
        <w:t>)</w:t>
      </w:r>
      <w:r w:rsidR="007553D5">
        <w:t>, distance effects (</w:t>
      </w:r>
      <w:proofErr w:type="spellStart"/>
      <w:r w:rsidR="007553D5">
        <w:t>Shaheer</w:t>
      </w:r>
      <w:proofErr w:type="spellEnd"/>
      <w:r w:rsidR="007553D5">
        <w:t xml:space="preserve"> &amp; Li, 2020), or regulatory barriers between countries (</w:t>
      </w:r>
      <w:bookmarkStart w:id="83" w:name="_Hlk89865088"/>
      <w:r w:rsidR="007553D5">
        <w:t>Stallkamp, 2021</w:t>
      </w:r>
      <w:bookmarkEnd w:id="83"/>
      <w:r w:rsidR="007553D5">
        <w:t>)</w:t>
      </w:r>
      <w:r>
        <w:t xml:space="preserve">. Instead, we employed a single-home-country design to keep such factors relatively constant. </w:t>
      </w:r>
      <w:r w:rsidR="0027408C">
        <w:t>Further studies</w:t>
      </w:r>
      <w:r>
        <w:t xml:space="preserve"> involving multiple home countries </w:t>
      </w:r>
      <w:r w:rsidR="00522C15">
        <w:t xml:space="preserve">and different temporal contexts </w:t>
      </w:r>
      <w:r>
        <w:t xml:space="preserve">are needed to test the robustness of our findings, including an assessment of the degree to which </w:t>
      </w:r>
      <w:r w:rsidR="00D576F0">
        <w:t xml:space="preserve">the size of the </w:t>
      </w:r>
      <w:r>
        <w:t xml:space="preserve">home markets </w:t>
      </w:r>
      <w:r w:rsidR="00D576F0">
        <w:t>influences firms’ commitment to</w:t>
      </w:r>
      <w:r w:rsidR="00D576F0" w:rsidRPr="00B0248E">
        <w:t xml:space="preserve"> </w:t>
      </w:r>
      <w:r w:rsidRPr="00B0248E">
        <w:t xml:space="preserve">internationalization </w:t>
      </w:r>
      <w:r w:rsidR="00D576F0">
        <w:t>(Crick &amp; Crick, 201</w:t>
      </w:r>
      <w:r w:rsidR="0014545D">
        <w:t>8</w:t>
      </w:r>
      <w:r w:rsidR="00D576F0">
        <w:t>)</w:t>
      </w:r>
      <w:r>
        <w:t>.</w:t>
      </w:r>
      <w:r w:rsidR="002B72D6">
        <w:t xml:space="preserve"> While our study intentionally focuses on purely digital firms, </w:t>
      </w:r>
      <w:r w:rsidR="004B2624">
        <w:t xml:space="preserve">the </w:t>
      </w:r>
      <w:r w:rsidR="003D3A70">
        <w:t>digital and the physical</w:t>
      </w:r>
      <w:r w:rsidR="004B2624">
        <w:t xml:space="preserve"> world are increasingly converging. Therefore, future research should begin to integrate </w:t>
      </w:r>
      <w:r w:rsidR="004B2624">
        <w:lastRenderedPageBreak/>
        <w:t xml:space="preserve">the emerging insights from research on purely digital firms with parallel research streams investigating the digital transformation of more traditional industries and business models (e.g., Shen et al., 2021; </w:t>
      </w:r>
      <w:proofErr w:type="spellStart"/>
      <w:r w:rsidR="004B2624">
        <w:t>Scuotto</w:t>
      </w:r>
      <w:proofErr w:type="spellEnd"/>
      <w:r w:rsidR="004B2624">
        <w:t>, Arrigo, Candelo &amp; Nicotra, 2019).</w:t>
      </w:r>
    </w:p>
    <w:p w14:paraId="10FE1779" w14:textId="48A0FA45" w:rsidR="00FC633C" w:rsidRDefault="00FC633C" w:rsidP="00FC633C">
      <w:pPr>
        <w:spacing w:line="480" w:lineRule="auto"/>
        <w:ind w:firstLine="720"/>
        <w:jc w:val="both"/>
      </w:pPr>
      <w:r>
        <w:t>We also made several design decisions related to the operationalization of the phenomenon.  One example is the use of IPOs as an important business venturing milestone (Filatotchev &amp; Piesse, 2009), which has the added benefit of ensuring the availability of consistent data through SEC-mandated S1 filings. Clearly, other milestones and other liquidity events can be used to stress-test our findings. The measurement of internationalization is also a perennial concern in empirical research, and our study is no exception. Although the foreign sales ratio is widely used in international business research, it does not capture the geographic diversity of foreign markets (</w:t>
      </w:r>
      <w:r w:rsidR="00581CF7">
        <w:t>Verbeke &amp; Kano, 2016</w:t>
      </w:r>
      <w:r>
        <w:t>). It also does not capture adoption by non-paying users, which may be substantial for some types of digital products. While we believe that sustainable internationalization</w:t>
      </w:r>
      <w:r w:rsidR="00123BA7">
        <w:t xml:space="preserve"> eventually</w:t>
      </w:r>
      <w:r>
        <w:t xml:space="preserve"> requires revenue generation, we encourage future research to consider user numbers as a complementary measure of international reach.</w:t>
      </w:r>
    </w:p>
    <w:p w14:paraId="7ED73DD7" w14:textId="77777777" w:rsidR="00FC633C" w:rsidRDefault="00FC633C" w:rsidP="00FC633C">
      <w:pPr>
        <w:pStyle w:val="Heading2"/>
        <w:rPr>
          <w:bCs/>
        </w:rPr>
      </w:pPr>
      <w:r w:rsidRPr="000E28AB">
        <w:t>Conclusion</w:t>
      </w:r>
    </w:p>
    <w:p w14:paraId="22022900" w14:textId="1773D530" w:rsidR="00060ACC" w:rsidRDefault="00FC633C" w:rsidP="007F6BF5">
      <w:pPr>
        <w:spacing w:line="480" w:lineRule="auto"/>
        <w:ind w:firstLine="720"/>
        <w:jc w:val="both"/>
        <w:rPr>
          <w:b/>
        </w:rPr>
      </w:pPr>
      <w:r>
        <w:t>As the impact of digitalization unfolds across all sectors of the economy, growing numbers of new ventures are created around digital products and services. It is crucial for researchers to understand the unique challenges and opportunities faced by these firms as they grow and scale their business</w:t>
      </w:r>
      <w:r w:rsidR="00BD3A97">
        <w:t>es</w:t>
      </w:r>
      <w:r>
        <w:t xml:space="preserve">. Yet, so far, our collective understanding of digital new ventures remains underdeveloped, especially with respect to the international expansion of these firms. </w:t>
      </w:r>
      <w:r w:rsidRPr="00924273">
        <w:t xml:space="preserve">While </w:t>
      </w:r>
      <w:r>
        <w:t xml:space="preserve">existing literature has gravitated towards a technology-centric view that emphasizes global connectivity and technical scalability, this study shows that </w:t>
      </w:r>
      <w:r w:rsidR="003A4F50">
        <w:t xml:space="preserve">it is often </w:t>
      </w:r>
      <w:r w:rsidR="009E5E5D">
        <w:t xml:space="preserve">traditional, </w:t>
      </w:r>
      <w:r>
        <w:t xml:space="preserve">non-technical </w:t>
      </w:r>
      <w:r w:rsidR="009E5E5D">
        <w:t>scaling requirements</w:t>
      </w:r>
      <w:r w:rsidR="0000557B">
        <w:t>—</w:t>
      </w:r>
      <w:r w:rsidR="009E5E5D">
        <w:t xml:space="preserve">such as, localized </w:t>
      </w:r>
      <w:r w:rsidR="009E5E5D" w:rsidRPr="009E5E5D">
        <w:t>marketing</w:t>
      </w:r>
      <w:r w:rsidR="009E5E5D">
        <w:t xml:space="preserve"> and sales</w:t>
      </w:r>
      <w:r w:rsidR="009E5E5D" w:rsidRPr="009E5E5D">
        <w:t xml:space="preserve">, customer support, </w:t>
      </w:r>
      <w:r w:rsidR="009E5E5D">
        <w:t xml:space="preserve">and drastically </w:t>
      </w:r>
      <w:r w:rsidR="009E5E5D">
        <w:lastRenderedPageBreak/>
        <w:t>different expectations for service quality</w:t>
      </w:r>
      <w:r w:rsidR="0000557B">
        <w:t>—</w:t>
      </w:r>
      <w:r w:rsidR="009E5E5D">
        <w:t>that</w:t>
      </w:r>
      <w:r>
        <w:t xml:space="preserve"> </w:t>
      </w:r>
      <w:r w:rsidR="009E5E5D">
        <w:t xml:space="preserve">drive significant demand heterogeneity and pose formidable impediments to the </w:t>
      </w:r>
      <w:r>
        <w:t>internationaliz</w:t>
      </w:r>
      <w:r w:rsidR="009E5E5D">
        <w:t>ation of digital new ventures</w:t>
      </w:r>
      <w:r>
        <w:t>.</w:t>
      </w:r>
      <w:r w:rsidR="009E5E5D">
        <w:t xml:space="preserve"> Further, we find that for many firms confronting the challenge of being digital, but not wholly so, pre-IPO </w:t>
      </w:r>
      <w:r>
        <w:t>acquisition</w:t>
      </w:r>
      <w:r w:rsidR="009E5E5D">
        <w:t>s offer a</w:t>
      </w:r>
      <w:r>
        <w:t xml:space="preserve"> compensatory strategy to mitigate these </w:t>
      </w:r>
      <w:r w:rsidR="009E5E5D">
        <w:t xml:space="preserve">value-draining </w:t>
      </w:r>
      <w:r>
        <w:t>constraints</w:t>
      </w:r>
      <w:r w:rsidR="009E5E5D">
        <w:t xml:space="preserve"> at a critical juncture in the digital venture lifecycle</w:t>
      </w:r>
      <w:r>
        <w:t>.</w:t>
      </w:r>
      <w:r w:rsidR="00060ACC">
        <w:rPr>
          <w:b/>
        </w:rPr>
        <w:br w:type="page"/>
      </w:r>
    </w:p>
    <w:p w14:paraId="009C8344" w14:textId="6B25BE4B" w:rsidR="00FC633C" w:rsidRDefault="00FC633C" w:rsidP="00FC633C">
      <w:pPr>
        <w:jc w:val="center"/>
        <w:rPr>
          <w:b/>
        </w:rPr>
      </w:pPr>
      <w:r w:rsidRPr="000E28AB">
        <w:rPr>
          <w:b/>
        </w:rPr>
        <w:lastRenderedPageBreak/>
        <w:t>FOOTNOTES</w:t>
      </w:r>
    </w:p>
    <w:p w14:paraId="051E8084" w14:textId="77777777" w:rsidR="007A3700" w:rsidRPr="000E28AB" w:rsidRDefault="007A3700" w:rsidP="00FC633C">
      <w:pPr>
        <w:jc w:val="center"/>
        <w:rPr>
          <w:b/>
        </w:rPr>
      </w:pPr>
    </w:p>
    <w:p w14:paraId="52A8158E" w14:textId="77777777" w:rsidR="007A3700" w:rsidRDefault="007A3700" w:rsidP="007A3700">
      <w:pPr>
        <w:spacing w:after="120"/>
      </w:pPr>
      <w:r>
        <w:t>1. Following Levinthal &amp; Wu (2010), among others, we use the terms ‘resources’ and ‘capabilities’ interchangeably. We also use the IB term ‘firm-specific asset’ (FSA) as synonymous with resource (Verbeke &amp; Kano, 2016).</w:t>
      </w:r>
    </w:p>
    <w:p w14:paraId="154FBB16" w14:textId="77777777" w:rsidR="007A3700" w:rsidRDefault="007A3700" w:rsidP="007A3700">
      <w:pPr>
        <w:spacing w:after="120"/>
      </w:pPr>
      <w:r>
        <w:t xml:space="preserve">2. Internalization theory combines resource-based theory with elements of transaction cost economics to explain firm internationalization, including FDI, exporting, and International New Ventures (Teece, 2014; Verbeke, </w:t>
      </w:r>
      <w:proofErr w:type="spellStart"/>
      <w:r>
        <w:t>Zargarzadeh</w:t>
      </w:r>
      <w:proofErr w:type="spellEnd"/>
      <w:r>
        <w:t xml:space="preserve"> &amp; </w:t>
      </w:r>
      <w:proofErr w:type="spellStart"/>
      <w:r>
        <w:t>Osiyevskyy</w:t>
      </w:r>
      <w:proofErr w:type="spellEnd"/>
      <w:r>
        <w:t>, 2014).</w:t>
      </w:r>
    </w:p>
    <w:p w14:paraId="2EC8EDF2" w14:textId="77777777" w:rsidR="007A3700" w:rsidRDefault="007A3700" w:rsidP="007A3700">
      <w:pPr>
        <w:spacing w:after="120"/>
      </w:pPr>
      <w:r>
        <w:t xml:space="preserve">3. </w:t>
      </w:r>
      <w:r w:rsidRPr="00C94FF2">
        <w:t>We hypothesize moderation only for the extent of internationalization (H1b), not the likelihood of achieving pre-IPO foreign sales (H1a). Assuming that the foreign acquisition target generates any sales outside of the US, the acquirer will automatically have foreign sales post-acquisition.</w:t>
      </w:r>
    </w:p>
    <w:p w14:paraId="6D5D242B" w14:textId="77777777" w:rsidR="007A3700" w:rsidRDefault="007A3700" w:rsidP="007A3700">
      <w:pPr>
        <w:spacing w:after="120"/>
      </w:pPr>
      <w:r>
        <w:t>4.</w:t>
      </w:r>
      <w:r w:rsidRPr="00C94FF2">
        <w:t xml:space="preserve"> For instance, Uber operates in the ‘trucking’ industry according to one of the major databases. Its SIC code (7389: ‘Business Services, Not Elsewhere Classified’) is not very informative, either.</w:t>
      </w:r>
    </w:p>
    <w:p w14:paraId="29417BDC" w14:textId="77777777" w:rsidR="007A3700" w:rsidRDefault="007A3700" w:rsidP="007A3700">
      <w:pPr>
        <w:spacing w:after="120"/>
      </w:pPr>
      <w:r>
        <w:t xml:space="preserve">5. </w:t>
      </w:r>
      <w:r w:rsidRPr="00C94FF2">
        <w:t xml:space="preserve">Since fractional regression models can only predict the </w:t>
      </w:r>
      <w:proofErr w:type="gramStart"/>
      <w:r w:rsidRPr="00C94FF2">
        <w:t>amount</w:t>
      </w:r>
      <w:proofErr w:type="gramEnd"/>
      <w:r w:rsidRPr="00C94FF2">
        <w:t xml:space="preserve"> of foreign sales, but not the likelihood, we could not use this model for Hypotheses 1a and 2a.</w:t>
      </w:r>
    </w:p>
    <w:p w14:paraId="69451BFE" w14:textId="77777777" w:rsidR="00101FF0" w:rsidRDefault="00101FF0" w:rsidP="00FC633C">
      <w:pPr>
        <w:pStyle w:val="FootnoteText"/>
        <w:jc w:val="both"/>
        <w:rPr>
          <w:sz w:val="24"/>
          <w:szCs w:val="24"/>
        </w:rPr>
      </w:pPr>
    </w:p>
    <w:p w14:paraId="3ACAC662" w14:textId="77777777" w:rsidR="00262481" w:rsidRPr="008911D8" w:rsidRDefault="00262481" w:rsidP="00262481">
      <w:pPr>
        <w:spacing w:line="480" w:lineRule="auto"/>
        <w:jc w:val="center"/>
        <w:rPr>
          <w:b/>
        </w:rPr>
      </w:pPr>
      <w:r w:rsidRPr="008911D8">
        <w:rPr>
          <w:b/>
        </w:rPr>
        <w:t>REFERENCES</w:t>
      </w:r>
    </w:p>
    <w:p w14:paraId="5581BCFD" w14:textId="680F1425" w:rsidR="004D1049" w:rsidRPr="004B5015" w:rsidRDefault="004D1049" w:rsidP="00262481">
      <w:pPr>
        <w:ind w:left="360" w:hanging="360"/>
        <w:jc w:val="both"/>
        <w:rPr>
          <w:shd w:val="clear" w:color="auto" w:fill="FFFFFF"/>
        </w:rPr>
      </w:pPr>
      <w:r w:rsidRPr="004B5015">
        <w:rPr>
          <w:color w:val="222222"/>
          <w:shd w:val="clear" w:color="auto" w:fill="FFFFFF"/>
        </w:rPr>
        <w:t>Adner, R., Puranam, P., &amp; Zhu, F. 2019. What is different about digital strategy? From quantitative to qualitative change. </w:t>
      </w:r>
      <w:r w:rsidRPr="004B5015">
        <w:rPr>
          <w:i/>
          <w:iCs/>
          <w:color w:val="222222"/>
          <w:shd w:val="clear" w:color="auto" w:fill="FFFFFF"/>
        </w:rPr>
        <w:t>Strategy Science</w:t>
      </w:r>
      <w:r w:rsidRPr="004B5015">
        <w:rPr>
          <w:color w:val="222222"/>
          <w:shd w:val="clear" w:color="auto" w:fill="FFFFFF"/>
        </w:rPr>
        <w:t>, </w:t>
      </w:r>
      <w:r w:rsidRPr="004B5015">
        <w:rPr>
          <w:i/>
          <w:iCs/>
          <w:color w:val="222222"/>
          <w:shd w:val="clear" w:color="auto" w:fill="FFFFFF"/>
        </w:rPr>
        <w:t>4</w:t>
      </w:r>
      <w:r w:rsidRPr="004B5015">
        <w:rPr>
          <w:color w:val="222222"/>
          <w:shd w:val="clear" w:color="auto" w:fill="FFFFFF"/>
        </w:rPr>
        <w:t>(4), 253-261.</w:t>
      </w:r>
      <w:r w:rsidRPr="004B5015">
        <w:rPr>
          <w:shd w:val="clear" w:color="auto" w:fill="FFFFFF"/>
        </w:rPr>
        <w:t xml:space="preserve"> </w:t>
      </w:r>
    </w:p>
    <w:p w14:paraId="44282D2E" w14:textId="53A3F24A" w:rsidR="006B5437" w:rsidRPr="004B5015" w:rsidRDefault="006B5437" w:rsidP="00262481">
      <w:pPr>
        <w:ind w:left="360" w:hanging="360"/>
        <w:jc w:val="both"/>
        <w:rPr>
          <w:shd w:val="clear" w:color="auto" w:fill="FFFFFF"/>
        </w:rPr>
      </w:pPr>
      <w:r w:rsidRPr="004B5015">
        <w:rPr>
          <w:shd w:val="clear" w:color="auto" w:fill="FFFFFF"/>
        </w:rPr>
        <w:t xml:space="preserve">Autio, E. 2017. Strategic entrepreneurial internationalization: A normative framework. </w:t>
      </w:r>
      <w:r w:rsidRPr="004B5015">
        <w:rPr>
          <w:i/>
          <w:iCs/>
          <w:shd w:val="clear" w:color="auto" w:fill="FFFFFF"/>
        </w:rPr>
        <w:t>Strategic Entrepreneurship Journal</w:t>
      </w:r>
      <w:r w:rsidRPr="004B5015">
        <w:rPr>
          <w:shd w:val="clear" w:color="auto" w:fill="FFFFFF"/>
        </w:rPr>
        <w:t>, 11(3), 211-227.</w:t>
      </w:r>
    </w:p>
    <w:p w14:paraId="4E70DFBE" w14:textId="42E8DA14" w:rsidR="006B5437" w:rsidRPr="004B5015" w:rsidRDefault="006B5437" w:rsidP="00262481">
      <w:pPr>
        <w:ind w:left="360" w:hanging="360"/>
        <w:jc w:val="both"/>
        <w:rPr>
          <w:shd w:val="clear" w:color="auto" w:fill="FFFFFF"/>
        </w:rPr>
      </w:pPr>
      <w:r w:rsidRPr="004B5015">
        <w:rPr>
          <w:shd w:val="clear" w:color="auto" w:fill="FFFFFF"/>
        </w:rPr>
        <w:t xml:space="preserve">Autio, E., Mudambi, R., &amp; </w:t>
      </w:r>
      <w:proofErr w:type="spellStart"/>
      <w:r w:rsidRPr="004B5015">
        <w:rPr>
          <w:shd w:val="clear" w:color="auto" w:fill="FFFFFF"/>
        </w:rPr>
        <w:t>Yoo</w:t>
      </w:r>
      <w:proofErr w:type="spellEnd"/>
      <w:r w:rsidRPr="004B5015">
        <w:rPr>
          <w:shd w:val="clear" w:color="auto" w:fill="FFFFFF"/>
        </w:rPr>
        <w:t xml:space="preserve">, Y. 2021. Digitalization and globalization in a turbulent world: Centrifugal and centripetal forces. </w:t>
      </w:r>
      <w:r w:rsidRPr="004B5015">
        <w:rPr>
          <w:i/>
          <w:iCs/>
          <w:shd w:val="clear" w:color="auto" w:fill="FFFFFF"/>
        </w:rPr>
        <w:t>Global Strategy Journal</w:t>
      </w:r>
      <w:r w:rsidRPr="004B5015">
        <w:rPr>
          <w:shd w:val="clear" w:color="auto" w:fill="FFFFFF"/>
        </w:rPr>
        <w:t>, 11(1), 3-16.</w:t>
      </w:r>
    </w:p>
    <w:p w14:paraId="401F1BC9" w14:textId="46B2A501" w:rsidR="00262481" w:rsidRPr="004B5015" w:rsidRDefault="00262481" w:rsidP="00262481">
      <w:pPr>
        <w:ind w:left="360" w:hanging="360"/>
        <w:jc w:val="both"/>
        <w:rPr>
          <w:shd w:val="clear" w:color="auto" w:fill="FFFFFF"/>
        </w:rPr>
      </w:pPr>
      <w:r w:rsidRPr="004B5015">
        <w:rPr>
          <w:shd w:val="clear" w:color="auto" w:fill="FFFFFF"/>
        </w:rPr>
        <w:t xml:space="preserve">Autio, E., &amp; Zander, I. 2016. Lean internationalization. </w:t>
      </w:r>
      <w:r w:rsidRPr="004B5015">
        <w:rPr>
          <w:i/>
          <w:iCs/>
          <w:shd w:val="clear" w:color="auto" w:fill="FFFFFF"/>
        </w:rPr>
        <w:t>Academy of Management Proceedings</w:t>
      </w:r>
      <w:r w:rsidRPr="004B5015">
        <w:rPr>
          <w:shd w:val="clear" w:color="auto" w:fill="FFFFFF"/>
        </w:rPr>
        <w:t>, 2016(1), 17420.</w:t>
      </w:r>
    </w:p>
    <w:p w14:paraId="4FBE4B8A" w14:textId="77777777" w:rsidR="00262481" w:rsidRPr="004B5015" w:rsidRDefault="00262481" w:rsidP="00262481">
      <w:pPr>
        <w:ind w:left="360" w:hanging="360"/>
        <w:jc w:val="both"/>
      </w:pPr>
      <w:proofErr w:type="spellStart"/>
      <w:r w:rsidRPr="004B5015">
        <w:t>Banalieva</w:t>
      </w:r>
      <w:proofErr w:type="spellEnd"/>
      <w:r w:rsidRPr="004B5015">
        <w:t xml:space="preserve">, E. R., </w:t>
      </w:r>
      <w:proofErr w:type="spellStart"/>
      <w:r w:rsidRPr="004B5015">
        <w:t>Dhanaraj</w:t>
      </w:r>
      <w:proofErr w:type="spellEnd"/>
      <w:r w:rsidRPr="004B5015">
        <w:t xml:space="preserve">, C. 2019. Internalization theory for the digital economy. </w:t>
      </w:r>
      <w:r w:rsidRPr="004B5015">
        <w:rPr>
          <w:i/>
          <w:iCs/>
        </w:rPr>
        <w:t>Journal of International Business Studies</w:t>
      </w:r>
      <w:r w:rsidRPr="004B5015">
        <w:t>, 50(8), 1372-1387.</w:t>
      </w:r>
    </w:p>
    <w:p w14:paraId="7B58167D" w14:textId="2E0A41B8" w:rsidR="004D1049" w:rsidRPr="004B5015" w:rsidRDefault="004D1049" w:rsidP="00262481">
      <w:pPr>
        <w:ind w:left="360" w:hanging="360"/>
        <w:jc w:val="both"/>
        <w:rPr>
          <w:color w:val="222222"/>
          <w:shd w:val="clear" w:color="auto" w:fill="FFFFFF"/>
        </w:rPr>
      </w:pPr>
      <w:r w:rsidRPr="004B5015">
        <w:rPr>
          <w:color w:val="222222"/>
          <w:shd w:val="clear" w:color="auto" w:fill="FFFFFF"/>
        </w:rPr>
        <w:t>Barney, J. 1991. Firm resources and sustained competitive advantage. </w:t>
      </w:r>
      <w:r w:rsidRPr="004B5015">
        <w:rPr>
          <w:i/>
          <w:iCs/>
          <w:color w:val="222222"/>
          <w:shd w:val="clear" w:color="auto" w:fill="FFFFFF"/>
        </w:rPr>
        <w:t>Journal of management</w:t>
      </w:r>
      <w:r w:rsidRPr="004B5015">
        <w:rPr>
          <w:color w:val="222222"/>
          <w:shd w:val="clear" w:color="auto" w:fill="FFFFFF"/>
        </w:rPr>
        <w:t>, </w:t>
      </w:r>
      <w:r w:rsidRPr="004B5015">
        <w:rPr>
          <w:i/>
          <w:iCs/>
          <w:color w:val="222222"/>
          <w:shd w:val="clear" w:color="auto" w:fill="FFFFFF"/>
        </w:rPr>
        <w:t>17</w:t>
      </w:r>
      <w:r w:rsidRPr="004B5015">
        <w:rPr>
          <w:color w:val="222222"/>
          <w:shd w:val="clear" w:color="auto" w:fill="FFFFFF"/>
        </w:rPr>
        <w:t>(1), 99-120.</w:t>
      </w:r>
    </w:p>
    <w:p w14:paraId="20A4E124" w14:textId="52C21979" w:rsidR="00262481" w:rsidRPr="004B5015" w:rsidRDefault="00262481" w:rsidP="00262481">
      <w:pPr>
        <w:ind w:left="360" w:hanging="360"/>
        <w:jc w:val="both"/>
      </w:pPr>
      <w:r w:rsidRPr="004B5015">
        <w:t xml:space="preserve">Bharadwaj, A., El </w:t>
      </w:r>
      <w:proofErr w:type="spellStart"/>
      <w:r w:rsidRPr="004B5015">
        <w:t>Sawy</w:t>
      </w:r>
      <w:proofErr w:type="spellEnd"/>
      <w:r w:rsidRPr="004B5015">
        <w:t xml:space="preserve">, O. A., </w:t>
      </w:r>
      <w:proofErr w:type="spellStart"/>
      <w:r w:rsidRPr="004B5015">
        <w:t>Pavlou</w:t>
      </w:r>
      <w:proofErr w:type="spellEnd"/>
      <w:r w:rsidRPr="004B5015">
        <w:t>, P. A., &amp; Venkatraman, N. 2013. Digital business strategy: Toward a next generation of insights. </w:t>
      </w:r>
      <w:r w:rsidRPr="004B5015">
        <w:rPr>
          <w:i/>
          <w:iCs/>
        </w:rPr>
        <w:t>MIS Quarterly</w:t>
      </w:r>
      <w:r w:rsidRPr="004B5015">
        <w:t>, 37(2), 471-482.</w:t>
      </w:r>
    </w:p>
    <w:p w14:paraId="2B1D20D8" w14:textId="4205CEC1" w:rsidR="004D1049" w:rsidRPr="004B5015" w:rsidRDefault="004D1049" w:rsidP="00262481">
      <w:pPr>
        <w:ind w:left="360" w:hanging="360"/>
        <w:jc w:val="both"/>
        <w:rPr>
          <w:color w:val="222222"/>
          <w:shd w:val="clear" w:color="auto" w:fill="FFFFFF"/>
        </w:rPr>
      </w:pPr>
      <w:proofErr w:type="spellStart"/>
      <w:r w:rsidRPr="004B5015">
        <w:rPr>
          <w:color w:val="222222"/>
          <w:shd w:val="clear" w:color="auto" w:fill="FFFFFF"/>
        </w:rPr>
        <w:t>Birnik</w:t>
      </w:r>
      <w:proofErr w:type="spellEnd"/>
      <w:r w:rsidRPr="004B5015">
        <w:rPr>
          <w:color w:val="222222"/>
          <w:shd w:val="clear" w:color="auto" w:fill="FFFFFF"/>
        </w:rPr>
        <w:t>, A., &amp; Bowman, C. 2007. Marketing mix standardization in multinational corporations: A review of the evidence. </w:t>
      </w:r>
      <w:r w:rsidRPr="004B5015">
        <w:rPr>
          <w:i/>
          <w:iCs/>
          <w:color w:val="222222"/>
          <w:shd w:val="clear" w:color="auto" w:fill="FFFFFF"/>
        </w:rPr>
        <w:t>International Journal of Management Reviews</w:t>
      </w:r>
      <w:r w:rsidRPr="004B5015">
        <w:rPr>
          <w:color w:val="222222"/>
          <w:shd w:val="clear" w:color="auto" w:fill="FFFFFF"/>
        </w:rPr>
        <w:t>, </w:t>
      </w:r>
      <w:r w:rsidRPr="004B5015">
        <w:rPr>
          <w:i/>
          <w:iCs/>
          <w:color w:val="222222"/>
          <w:shd w:val="clear" w:color="auto" w:fill="FFFFFF"/>
        </w:rPr>
        <w:t>9</w:t>
      </w:r>
      <w:r w:rsidRPr="004B5015">
        <w:rPr>
          <w:color w:val="222222"/>
          <w:shd w:val="clear" w:color="auto" w:fill="FFFFFF"/>
        </w:rPr>
        <w:t>(4), 303-324.</w:t>
      </w:r>
    </w:p>
    <w:p w14:paraId="705DD721" w14:textId="3353A63C" w:rsidR="00262481" w:rsidRPr="004B5015" w:rsidRDefault="00262481" w:rsidP="00262481">
      <w:pPr>
        <w:ind w:left="360" w:hanging="360"/>
        <w:jc w:val="both"/>
      </w:pPr>
      <w:r w:rsidRPr="004B5015">
        <w:rPr>
          <w:shd w:val="clear" w:color="auto" w:fill="FFFFFF"/>
        </w:rPr>
        <w:t>Blum, B. S., &amp; Goldfarb, A. 2006. Does the internet defy the law of gravity? </w:t>
      </w:r>
      <w:r w:rsidRPr="004B5015">
        <w:rPr>
          <w:i/>
          <w:iCs/>
          <w:shd w:val="clear" w:color="auto" w:fill="FFFFFF"/>
        </w:rPr>
        <w:t>Journal of International Economics</w:t>
      </w:r>
      <w:r w:rsidRPr="004B5015">
        <w:rPr>
          <w:shd w:val="clear" w:color="auto" w:fill="FFFFFF"/>
        </w:rPr>
        <w:t>, 70(2), 384-405.</w:t>
      </w:r>
      <w:r w:rsidRPr="004B5015">
        <w:t xml:space="preserve"> </w:t>
      </w:r>
    </w:p>
    <w:p w14:paraId="401CA095" w14:textId="3250B92C" w:rsidR="003351C7" w:rsidRPr="004B5015" w:rsidRDefault="003351C7" w:rsidP="00262481">
      <w:pPr>
        <w:ind w:left="360" w:hanging="360"/>
        <w:jc w:val="both"/>
      </w:pPr>
      <w:r w:rsidRPr="004B5015">
        <w:t>Buckley</w:t>
      </w:r>
      <w:r w:rsidR="004D1049" w:rsidRPr="004B5015">
        <w:t>, P.J.</w:t>
      </w:r>
      <w:r w:rsidRPr="004B5015">
        <w:t xml:space="preserve"> &amp; Casson</w:t>
      </w:r>
      <w:r w:rsidR="004D1049" w:rsidRPr="004B5015">
        <w:t xml:space="preserve">, M. 1976. </w:t>
      </w:r>
      <w:r w:rsidR="004D1049" w:rsidRPr="004B5015">
        <w:rPr>
          <w:i/>
          <w:iCs/>
        </w:rPr>
        <w:t xml:space="preserve">The future of the multinational </w:t>
      </w:r>
      <w:r w:rsidR="00292311" w:rsidRPr="004B5015">
        <w:rPr>
          <w:i/>
          <w:iCs/>
        </w:rPr>
        <w:t>enterprise</w:t>
      </w:r>
      <w:r w:rsidR="004D1049" w:rsidRPr="004B5015">
        <w:t>.</w:t>
      </w:r>
    </w:p>
    <w:p w14:paraId="76B61E0E" w14:textId="78657239" w:rsidR="0029248F" w:rsidRPr="004B5015" w:rsidRDefault="0029248F" w:rsidP="00262481">
      <w:pPr>
        <w:ind w:left="360" w:hanging="360"/>
        <w:jc w:val="both"/>
      </w:pPr>
      <w:proofErr w:type="spellStart"/>
      <w:r w:rsidRPr="004B5015">
        <w:t>Cahen</w:t>
      </w:r>
      <w:proofErr w:type="spellEnd"/>
      <w:r w:rsidRPr="004B5015">
        <w:t xml:space="preserve">, F. R., Lahiri, S., &amp; </w:t>
      </w:r>
      <w:proofErr w:type="spellStart"/>
      <w:r w:rsidRPr="004B5015">
        <w:t>Borini</w:t>
      </w:r>
      <w:proofErr w:type="spellEnd"/>
      <w:r w:rsidRPr="004B5015">
        <w:t>, F. M. 2016. Managerial perceptions of barriers to internationalization: An examination of Brazil's new technology-based firms. </w:t>
      </w:r>
      <w:r w:rsidRPr="004B5015">
        <w:rPr>
          <w:i/>
          <w:iCs/>
        </w:rPr>
        <w:t>Journal of Business Research</w:t>
      </w:r>
      <w:r w:rsidRPr="004B5015">
        <w:t>, </w:t>
      </w:r>
      <w:r w:rsidRPr="004B5015">
        <w:rPr>
          <w:i/>
          <w:iCs/>
        </w:rPr>
        <w:t>69</w:t>
      </w:r>
      <w:r w:rsidRPr="004B5015">
        <w:t>(6), 1973-1979.</w:t>
      </w:r>
    </w:p>
    <w:p w14:paraId="3F7F3245" w14:textId="77777777" w:rsidR="004C77B8" w:rsidRPr="004B5015" w:rsidRDefault="004C77B8" w:rsidP="004C77B8">
      <w:pPr>
        <w:ind w:left="360" w:hanging="360"/>
        <w:jc w:val="both"/>
      </w:pPr>
      <w:r w:rsidRPr="004B5015">
        <w:lastRenderedPageBreak/>
        <w:t>Carpenter, M. A., Pollock, T. G., &amp; Leary, M. M. 2003. Testing a model of reasoned risk‐taking: Governance, the experience of principals and agents, and global strategy in high‐technology IPO firms. </w:t>
      </w:r>
      <w:r w:rsidRPr="004B5015">
        <w:rPr>
          <w:i/>
          <w:iCs/>
        </w:rPr>
        <w:t>Strategic Management Journal</w:t>
      </w:r>
      <w:r w:rsidRPr="004B5015">
        <w:t>, 24(9), 803-820.</w:t>
      </w:r>
    </w:p>
    <w:p w14:paraId="50AEDF81" w14:textId="3C85B609" w:rsidR="004D1049" w:rsidRPr="004B5015" w:rsidRDefault="004D1049" w:rsidP="00262481">
      <w:pPr>
        <w:ind w:left="360" w:hanging="360"/>
        <w:jc w:val="both"/>
        <w:rPr>
          <w:color w:val="222222"/>
          <w:shd w:val="clear" w:color="auto" w:fill="FFFFFF"/>
        </w:rPr>
      </w:pPr>
      <w:r w:rsidRPr="004B5015">
        <w:rPr>
          <w:color w:val="222222"/>
          <w:shd w:val="clear" w:color="auto" w:fill="FFFFFF"/>
        </w:rPr>
        <w:t>Cavusgil, S. T., Zou, S., &amp; Naidu, G. M. 1993. Product and promotion adaptation in export ventures: an empirical investigation. </w:t>
      </w:r>
      <w:r w:rsidRPr="004B5015">
        <w:rPr>
          <w:i/>
          <w:iCs/>
          <w:color w:val="222222"/>
          <w:shd w:val="clear" w:color="auto" w:fill="FFFFFF"/>
        </w:rPr>
        <w:t>Journal of International Business Studies</w:t>
      </w:r>
      <w:r w:rsidRPr="004B5015">
        <w:rPr>
          <w:color w:val="222222"/>
          <w:shd w:val="clear" w:color="auto" w:fill="FFFFFF"/>
        </w:rPr>
        <w:t>, </w:t>
      </w:r>
      <w:r w:rsidRPr="004B5015">
        <w:rPr>
          <w:i/>
          <w:iCs/>
          <w:color w:val="222222"/>
          <w:shd w:val="clear" w:color="auto" w:fill="FFFFFF"/>
        </w:rPr>
        <w:t>24</w:t>
      </w:r>
      <w:r w:rsidRPr="004B5015">
        <w:rPr>
          <w:color w:val="222222"/>
          <w:shd w:val="clear" w:color="auto" w:fill="FFFFFF"/>
        </w:rPr>
        <w:t>(3), 479-506.</w:t>
      </w:r>
    </w:p>
    <w:p w14:paraId="51CFADAF" w14:textId="56352A91" w:rsidR="001947E6" w:rsidRPr="004B5015" w:rsidRDefault="001947E6" w:rsidP="00262481">
      <w:pPr>
        <w:ind w:left="360" w:hanging="360"/>
        <w:jc w:val="both"/>
      </w:pPr>
      <w:r w:rsidRPr="004B5015">
        <w:t xml:space="preserve">Chalmers, D., MacKenzie, N. G., &amp; Carter, S. 2021. Artificial intelligence and entrepreneurship: Implications for venture creation in the fourth industrial revolution. </w:t>
      </w:r>
      <w:r w:rsidRPr="00060ACC">
        <w:rPr>
          <w:i/>
          <w:iCs/>
        </w:rPr>
        <w:t>Entrepreneurship Theory and Practice</w:t>
      </w:r>
      <w:r w:rsidRPr="004B5015">
        <w:t>, 45(5), 1028-1053.</w:t>
      </w:r>
      <w:r w:rsidRPr="004B5015" w:rsidDel="001947E6">
        <w:t xml:space="preserve"> </w:t>
      </w:r>
    </w:p>
    <w:p w14:paraId="76BCFC1A" w14:textId="77777777" w:rsidR="00262481" w:rsidRPr="004B5015" w:rsidRDefault="00262481" w:rsidP="00262481">
      <w:pPr>
        <w:ind w:left="360" w:hanging="360"/>
        <w:jc w:val="both"/>
        <w:rPr>
          <w:shd w:val="clear" w:color="auto" w:fill="FFFFFF"/>
        </w:rPr>
      </w:pPr>
      <w:r w:rsidRPr="004B5015">
        <w:rPr>
          <w:shd w:val="clear" w:color="auto" w:fill="FFFFFF"/>
        </w:rPr>
        <w:t xml:space="preserve">Chen, L., </w:t>
      </w:r>
      <w:proofErr w:type="spellStart"/>
      <w:r w:rsidRPr="004B5015">
        <w:rPr>
          <w:shd w:val="clear" w:color="auto" w:fill="FFFFFF"/>
        </w:rPr>
        <w:t>Shaheer</w:t>
      </w:r>
      <w:proofErr w:type="spellEnd"/>
      <w:r w:rsidRPr="004B5015">
        <w:rPr>
          <w:shd w:val="clear" w:color="auto" w:fill="FFFFFF"/>
        </w:rPr>
        <w:t xml:space="preserve">, N., Yi, J., &amp; Li, S. 2019. The international penetration of </w:t>
      </w:r>
      <w:proofErr w:type="spellStart"/>
      <w:r w:rsidRPr="004B5015">
        <w:rPr>
          <w:shd w:val="clear" w:color="auto" w:fill="FFFFFF"/>
        </w:rPr>
        <w:t>ibusiness</w:t>
      </w:r>
      <w:proofErr w:type="spellEnd"/>
      <w:r w:rsidRPr="004B5015">
        <w:rPr>
          <w:shd w:val="clear" w:color="auto" w:fill="FFFFFF"/>
        </w:rPr>
        <w:t xml:space="preserve"> firms: Network effects, liabilities of outsidership and country clout. </w:t>
      </w:r>
      <w:r w:rsidRPr="004B5015">
        <w:rPr>
          <w:i/>
          <w:iCs/>
          <w:shd w:val="clear" w:color="auto" w:fill="FFFFFF"/>
        </w:rPr>
        <w:t>Journal of International Business Studies</w:t>
      </w:r>
      <w:r w:rsidRPr="004B5015">
        <w:rPr>
          <w:shd w:val="clear" w:color="auto" w:fill="FFFFFF"/>
        </w:rPr>
        <w:t>, 50(2), 172-192.</w:t>
      </w:r>
    </w:p>
    <w:p w14:paraId="47A57018" w14:textId="39317BE2" w:rsidR="004D1049" w:rsidRPr="004B5015" w:rsidRDefault="004D1049" w:rsidP="00262481">
      <w:pPr>
        <w:ind w:left="360" w:hanging="360"/>
        <w:jc w:val="both"/>
        <w:rPr>
          <w:color w:val="222222"/>
          <w:shd w:val="clear" w:color="auto" w:fill="FFFFFF"/>
        </w:rPr>
      </w:pPr>
      <w:r w:rsidRPr="004B5015">
        <w:rPr>
          <w:color w:val="222222"/>
          <w:shd w:val="clear" w:color="auto" w:fill="FFFFFF"/>
        </w:rPr>
        <w:t>Chung, H. F., Wang, C. L., &amp; Huang, P. H. 2012. A contingency approach to international marketing strategy and decision‐making structure among exporting firms. </w:t>
      </w:r>
      <w:r w:rsidRPr="004B5015">
        <w:rPr>
          <w:i/>
          <w:iCs/>
          <w:color w:val="222222"/>
          <w:shd w:val="clear" w:color="auto" w:fill="FFFFFF"/>
        </w:rPr>
        <w:t>International Marketing Review</w:t>
      </w:r>
      <w:r w:rsidR="000108C2">
        <w:rPr>
          <w:color w:val="222222"/>
          <w:shd w:val="clear" w:color="auto" w:fill="FFFFFF"/>
        </w:rPr>
        <w:t>, 29(1), 54-87.</w:t>
      </w:r>
    </w:p>
    <w:p w14:paraId="4B2057F2" w14:textId="39B09DE0" w:rsidR="00262481" w:rsidRPr="004B5015" w:rsidRDefault="00262481" w:rsidP="00262481">
      <w:pPr>
        <w:ind w:left="360" w:hanging="360"/>
        <w:jc w:val="both"/>
        <w:rPr>
          <w:shd w:val="clear" w:color="auto" w:fill="FFFFFF"/>
        </w:rPr>
      </w:pPr>
      <w:r w:rsidRPr="004B5015">
        <w:rPr>
          <w:shd w:val="clear" w:color="auto" w:fill="FFFFFF"/>
        </w:rPr>
        <w:t>Cornell, B., &amp; Damodaran, A. 2020. The Big Market Delusion: Valuation and Investment Implications. </w:t>
      </w:r>
      <w:r w:rsidRPr="004B5015">
        <w:rPr>
          <w:i/>
          <w:iCs/>
          <w:shd w:val="clear" w:color="auto" w:fill="FFFFFF"/>
        </w:rPr>
        <w:t>Financial Analysts Journal</w:t>
      </w:r>
      <w:r w:rsidRPr="004B5015">
        <w:rPr>
          <w:shd w:val="clear" w:color="auto" w:fill="FFFFFF"/>
        </w:rPr>
        <w:t xml:space="preserve">, 76(2), 15-25. </w:t>
      </w:r>
    </w:p>
    <w:p w14:paraId="2F2BAE4B" w14:textId="057B3AF5" w:rsidR="00262481" w:rsidRPr="004B5015" w:rsidRDefault="00262481" w:rsidP="00262481">
      <w:pPr>
        <w:ind w:left="360" w:hanging="360"/>
        <w:jc w:val="both"/>
        <w:rPr>
          <w:shd w:val="clear" w:color="auto" w:fill="FFFFFF"/>
        </w:rPr>
      </w:pPr>
      <w:r w:rsidRPr="004B5015">
        <w:rPr>
          <w:shd w:val="clear" w:color="auto" w:fill="FFFFFF"/>
        </w:rPr>
        <w:t>Coviello, N., Kano, L., &amp; Liesch, P. 2017. Adapting the Uppsala model to a modern world: Macro-context and microfoundations. </w:t>
      </w:r>
      <w:r w:rsidRPr="004B5015">
        <w:rPr>
          <w:i/>
          <w:iCs/>
          <w:shd w:val="clear" w:color="auto" w:fill="FFFFFF"/>
        </w:rPr>
        <w:t>Journal of International Business Studies</w:t>
      </w:r>
      <w:r w:rsidRPr="004B5015">
        <w:rPr>
          <w:shd w:val="clear" w:color="auto" w:fill="FFFFFF"/>
        </w:rPr>
        <w:t>, 48(9), 1151-1164.</w:t>
      </w:r>
    </w:p>
    <w:p w14:paraId="7304C8EC" w14:textId="693C4566" w:rsidR="00816444" w:rsidRPr="004B5015" w:rsidRDefault="00816444" w:rsidP="00262481">
      <w:pPr>
        <w:ind w:left="360" w:hanging="360"/>
        <w:jc w:val="both"/>
        <w:rPr>
          <w:shd w:val="clear" w:color="auto" w:fill="FFFFFF"/>
        </w:rPr>
      </w:pPr>
      <w:r w:rsidRPr="004B5015">
        <w:rPr>
          <w:shd w:val="clear" w:color="auto" w:fill="FFFFFF"/>
        </w:rPr>
        <w:t xml:space="preserve">Crick, D., &amp; Crick, J. 2014. The internationalization strategies of rapidly internationalizing high-tech UK SMEs: Planned and unplanned activities. </w:t>
      </w:r>
      <w:r w:rsidRPr="00292311">
        <w:rPr>
          <w:i/>
          <w:iCs/>
          <w:shd w:val="clear" w:color="auto" w:fill="FFFFFF"/>
        </w:rPr>
        <w:t>European Business Review</w:t>
      </w:r>
      <w:r w:rsidR="001947E6" w:rsidRPr="004B5015">
        <w:rPr>
          <w:shd w:val="clear" w:color="auto" w:fill="FFFFFF"/>
        </w:rPr>
        <w:t>, 26(5), 421-448.</w:t>
      </w:r>
      <w:r w:rsidRPr="004B5015">
        <w:rPr>
          <w:shd w:val="clear" w:color="auto" w:fill="FFFFFF"/>
        </w:rPr>
        <w:t xml:space="preserve"> </w:t>
      </w:r>
    </w:p>
    <w:p w14:paraId="66E33778" w14:textId="784F98F1" w:rsidR="001947E6" w:rsidRPr="004B5015" w:rsidRDefault="001947E6" w:rsidP="00262481">
      <w:pPr>
        <w:ind w:left="360" w:hanging="360"/>
        <w:jc w:val="both"/>
        <w:rPr>
          <w:shd w:val="clear" w:color="auto" w:fill="FFFFFF"/>
        </w:rPr>
      </w:pPr>
      <w:r w:rsidRPr="004B5015">
        <w:rPr>
          <w:shd w:val="clear" w:color="auto" w:fill="FFFFFF"/>
        </w:rPr>
        <w:t xml:space="preserve">Crick, D., &amp; Crick, J. 2016. The first export order: A marketing innovation revisited. </w:t>
      </w:r>
      <w:r w:rsidRPr="00060ACC">
        <w:rPr>
          <w:i/>
          <w:iCs/>
          <w:shd w:val="clear" w:color="auto" w:fill="FFFFFF"/>
        </w:rPr>
        <w:t>Journal of Strategic Marketing</w:t>
      </w:r>
      <w:r w:rsidRPr="004B5015">
        <w:rPr>
          <w:shd w:val="clear" w:color="auto" w:fill="FFFFFF"/>
        </w:rPr>
        <w:t>, 24(2), 77-89.</w:t>
      </w:r>
    </w:p>
    <w:p w14:paraId="20AB48A5" w14:textId="548B43E7" w:rsidR="001947E6" w:rsidRPr="004B5015" w:rsidRDefault="001947E6" w:rsidP="00262481">
      <w:pPr>
        <w:ind w:left="360" w:hanging="360"/>
        <w:jc w:val="both"/>
        <w:rPr>
          <w:shd w:val="clear" w:color="auto" w:fill="FFFFFF"/>
        </w:rPr>
      </w:pPr>
      <w:r w:rsidRPr="004B5015">
        <w:rPr>
          <w:shd w:val="clear" w:color="auto" w:fill="FFFFFF"/>
        </w:rPr>
        <w:t xml:space="preserve">Crick, J. M., &amp; Crick, D. 2018. Angel investors’ predictive and control funding criteria: the importance of evolving business models. </w:t>
      </w:r>
      <w:r w:rsidRPr="00292311">
        <w:rPr>
          <w:i/>
          <w:iCs/>
          <w:shd w:val="clear" w:color="auto" w:fill="FFFFFF"/>
        </w:rPr>
        <w:t>Journal of Research in Marketing and Entrepreneurship</w:t>
      </w:r>
      <w:r w:rsidRPr="004B5015">
        <w:rPr>
          <w:shd w:val="clear" w:color="auto" w:fill="FFFFFF"/>
        </w:rPr>
        <w:t>, 20(1), 34-56.</w:t>
      </w:r>
    </w:p>
    <w:p w14:paraId="7DB8E1E6" w14:textId="049C8552" w:rsidR="001947E6" w:rsidRPr="004B5015" w:rsidRDefault="001947E6" w:rsidP="00262481">
      <w:pPr>
        <w:ind w:left="360" w:hanging="360"/>
        <w:jc w:val="both"/>
        <w:rPr>
          <w:shd w:val="clear" w:color="auto" w:fill="FFFFFF"/>
        </w:rPr>
      </w:pPr>
      <w:r w:rsidRPr="004B5015">
        <w:rPr>
          <w:shd w:val="clear" w:color="auto" w:fill="FFFFFF"/>
        </w:rPr>
        <w:t xml:space="preserve">Crick, J. M., Crick, D., &amp; Chaudhry, S. 2020. Entrepreneurial marketing decision-making in rapidly </w:t>
      </w:r>
      <w:proofErr w:type="spellStart"/>
      <w:r w:rsidRPr="004B5015">
        <w:rPr>
          <w:shd w:val="clear" w:color="auto" w:fill="FFFFFF"/>
        </w:rPr>
        <w:t>internationalising</w:t>
      </w:r>
      <w:proofErr w:type="spellEnd"/>
      <w:r w:rsidRPr="004B5015">
        <w:rPr>
          <w:shd w:val="clear" w:color="auto" w:fill="FFFFFF"/>
        </w:rPr>
        <w:t xml:space="preserve"> and de-</w:t>
      </w:r>
      <w:proofErr w:type="spellStart"/>
      <w:r w:rsidRPr="004B5015">
        <w:rPr>
          <w:shd w:val="clear" w:color="auto" w:fill="FFFFFF"/>
        </w:rPr>
        <w:t>internationalising</w:t>
      </w:r>
      <w:proofErr w:type="spellEnd"/>
      <w:r w:rsidRPr="004B5015">
        <w:rPr>
          <w:shd w:val="clear" w:color="auto" w:fill="FFFFFF"/>
        </w:rPr>
        <w:t xml:space="preserve"> start-up firms. </w:t>
      </w:r>
      <w:r w:rsidRPr="00060ACC">
        <w:rPr>
          <w:i/>
          <w:iCs/>
          <w:shd w:val="clear" w:color="auto" w:fill="FFFFFF"/>
        </w:rPr>
        <w:t>Journal of Business Research</w:t>
      </w:r>
      <w:r w:rsidRPr="004B5015">
        <w:rPr>
          <w:shd w:val="clear" w:color="auto" w:fill="FFFFFF"/>
        </w:rPr>
        <w:t>, 113, 158-167.</w:t>
      </w:r>
    </w:p>
    <w:p w14:paraId="7376A453" w14:textId="2C111391" w:rsidR="00292311" w:rsidRPr="00292311" w:rsidRDefault="00292311" w:rsidP="00262481">
      <w:pPr>
        <w:ind w:left="360" w:hanging="360"/>
        <w:jc w:val="both"/>
        <w:rPr>
          <w:color w:val="222222"/>
          <w:shd w:val="clear" w:color="auto" w:fill="FFFFFF"/>
        </w:rPr>
      </w:pPr>
      <w:r w:rsidRPr="00292311">
        <w:rPr>
          <w:color w:val="222222"/>
          <w:shd w:val="clear" w:color="auto" w:fill="FFFFFF"/>
        </w:rPr>
        <w:t>Davidsson, P. 2015. Entrepreneurial opportunities and the entrepreneurship nexus: A re-conceptualization. </w:t>
      </w:r>
      <w:r w:rsidRPr="00292311">
        <w:rPr>
          <w:i/>
          <w:iCs/>
          <w:color w:val="222222"/>
          <w:shd w:val="clear" w:color="auto" w:fill="FFFFFF"/>
        </w:rPr>
        <w:t>Journal of Business Venturing</w:t>
      </w:r>
      <w:r w:rsidRPr="00292311">
        <w:rPr>
          <w:color w:val="222222"/>
          <w:shd w:val="clear" w:color="auto" w:fill="FFFFFF"/>
        </w:rPr>
        <w:t>, </w:t>
      </w:r>
      <w:r w:rsidRPr="00292311">
        <w:rPr>
          <w:i/>
          <w:iCs/>
          <w:color w:val="222222"/>
          <w:shd w:val="clear" w:color="auto" w:fill="FFFFFF"/>
        </w:rPr>
        <w:t>30</w:t>
      </w:r>
      <w:r w:rsidRPr="00292311">
        <w:rPr>
          <w:color w:val="222222"/>
          <w:shd w:val="clear" w:color="auto" w:fill="FFFFFF"/>
        </w:rPr>
        <w:t>(5), 674-695.</w:t>
      </w:r>
    </w:p>
    <w:p w14:paraId="30977ED3" w14:textId="4753C342" w:rsidR="00816444" w:rsidRPr="004B5015" w:rsidRDefault="00816444" w:rsidP="00262481">
      <w:pPr>
        <w:ind w:left="360" w:hanging="360"/>
        <w:jc w:val="both"/>
        <w:rPr>
          <w:shd w:val="clear" w:color="auto" w:fill="FFFFFF"/>
        </w:rPr>
      </w:pPr>
      <w:r w:rsidRPr="004B5015">
        <w:rPr>
          <w:shd w:val="clear" w:color="auto" w:fill="FFFFFF"/>
        </w:rPr>
        <w:t xml:space="preserve">Deng, Z., Liesch, P. W., &amp; Wang, Z. 2021. Deceptive signaling on globalized digital platforms: Institutional hypnosis and firm internationalization. </w:t>
      </w:r>
      <w:r w:rsidRPr="00060ACC">
        <w:rPr>
          <w:i/>
          <w:iCs/>
          <w:shd w:val="clear" w:color="auto" w:fill="FFFFFF"/>
        </w:rPr>
        <w:t>Journal of International Business Studies</w:t>
      </w:r>
      <w:r w:rsidRPr="004B5015">
        <w:rPr>
          <w:shd w:val="clear" w:color="auto" w:fill="FFFFFF"/>
        </w:rPr>
        <w:t>, 1-25.</w:t>
      </w:r>
    </w:p>
    <w:p w14:paraId="5DAB0966" w14:textId="35132EE0" w:rsidR="00262481" w:rsidRPr="004B5015" w:rsidRDefault="00262481" w:rsidP="00262481">
      <w:pPr>
        <w:ind w:left="360" w:hanging="360"/>
        <w:jc w:val="both"/>
        <w:rPr>
          <w:shd w:val="clear" w:color="auto" w:fill="FFFFFF"/>
        </w:rPr>
      </w:pPr>
      <w:proofErr w:type="spellStart"/>
      <w:r w:rsidRPr="004B5015">
        <w:rPr>
          <w:shd w:val="clear" w:color="auto" w:fill="FFFFFF"/>
        </w:rPr>
        <w:t>Domurath</w:t>
      </w:r>
      <w:proofErr w:type="spellEnd"/>
      <w:r w:rsidRPr="004B5015">
        <w:rPr>
          <w:shd w:val="clear" w:color="auto" w:fill="FFFFFF"/>
        </w:rPr>
        <w:t xml:space="preserve">, A., Coviello, N., Patzelt, H., &amp; </w:t>
      </w:r>
      <w:proofErr w:type="spellStart"/>
      <w:r w:rsidRPr="004B5015">
        <w:rPr>
          <w:shd w:val="clear" w:color="auto" w:fill="FFFFFF"/>
        </w:rPr>
        <w:t>Ganal</w:t>
      </w:r>
      <w:proofErr w:type="spellEnd"/>
      <w:r w:rsidRPr="004B5015">
        <w:rPr>
          <w:shd w:val="clear" w:color="auto" w:fill="FFFFFF"/>
        </w:rPr>
        <w:t>, B. 2020. New venture adaptation in international markets. </w:t>
      </w:r>
      <w:r w:rsidRPr="004B5015">
        <w:rPr>
          <w:i/>
          <w:iCs/>
          <w:shd w:val="clear" w:color="auto" w:fill="FFFFFF"/>
        </w:rPr>
        <w:t>Journal of World Business</w:t>
      </w:r>
      <w:r w:rsidR="003F623E">
        <w:rPr>
          <w:shd w:val="clear" w:color="auto" w:fill="FFFFFF"/>
        </w:rPr>
        <w:t xml:space="preserve">, 55(1), </w:t>
      </w:r>
      <w:r w:rsidR="003F623E" w:rsidRPr="003F623E">
        <w:rPr>
          <w:shd w:val="clear" w:color="auto" w:fill="FFFFFF"/>
        </w:rPr>
        <w:t>101019</w:t>
      </w:r>
      <w:r w:rsidR="003F623E">
        <w:rPr>
          <w:shd w:val="clear" w:color="auto" w:fill="FFFFFF"/>
        </w:rPr>
        <w:t>.</w:t>
      </w:r>
    </w:p>
    <w:p w14:paraId="492577CE" w14:textId="203DEEBE" w:rsidR="004D1049" w:rsidRPr="004B5015" w:rsidRDefault="004D1049" w:rsidP="00262481">
      <w:pPr>
        <w:ind w:left="360" w:hanging="360"/>
        <w:jc w:val="both"/>
        <w:rPr>
          <w:color w:val="222222"/>
          <w:shd w:val="clear" w:color="auto" w:fill="FFFFFF"/>
        </w:rPr>
      </w:pPr>
      <w:r w:rsidRPr="004B5015">
        <w:rPr>
          <w:color w:val="222222"/>
          <w:shd w:val="clear" w:color="auto" w:fill="FFFFFF"/>
        </w:rPr>
        <w:t>Douglas, S. P., &amp; Wind, Y. 1987. The myth of globalization. </w:t>
      </w:r>
      <w:r w:rsidRPr="004B5015">
        <w:rPr>
          <w:i/>
          <w:iCs/>
          <w:color w:val="222222"/>
          <w:shd w:val="clear" w:color="auto" w:fill="FFFFFF"/>
        </w:rPr>
        <w:t xml:space="preserve">Columbia Journal of </w:t>
      </w:r>
      <w:r w:rsidR="000108C2" w:rsidRPr="004B5015">
        <w:rPr>
          <w:i/>
          <w:iCs/>
          <w:color w:val="222222"/>
          <w:shd w:val="clear" w:color="auto" w:fill="FFFFFF"/>
        </w:rPr>
        <w:t>World Business</w:t>
      </w:r>
      <w:r w:rsidRPr="004B5015">
        <w:rPr>
          <w:color w:val="222222"/>
          <w:shd w:val="clear" w:color="auto" w:fill="FFFFFF"/>
        </w:rPr>
        <w:t>, </w:t>
      </w:r>
      <w:r w:rsidRPr="004B5015">
        <w:rPr>
          <w:i/>
          <w:iCs/>
          <w:color w:val="222222"/>
          <w:shd w:val="clear" w:color="auto" w:fill="FFFFFF"/>
        </w:rPr>
        <w:t>22</w:t>
      </w:r>
      <w:r w:rsidRPr="004B5015">
        <w:rPr>
          <w:color w:val="222222"/>
          <w:shd w:val="clear" w:color="auto" w:fill="FFFFFF"/>
        </w:rPr>
        <w:t>(4), 19-29.</w:t>
      </w:r>
    </w:p>
    <w:p w14:paraId="179638D2" w14:textId="77777777" w:rsidR="00262481" w:rsidRPr="004B5015" w:rsidRDefault="00262481" w:rsidP="00262481">
      <w:pPr>
        <w:ind w:left="360" w:hanging="360"/>
        <w:jc w:val="both"/>
        <w:rPr>
          <w:shd w:val="clear" w:color="auto" w:fill="FFFFFF"/>
        </w:rPr>
      </w:pPr>
      <w:r w:rsidRPr="004B5015">
        <w:rPr>
          <w:shd w:val="clear" w:color="auto" w:fill="FFFFFF"/>
        </w:rPr>
        <w:t>Fan, T., &amp; Tan, A. 2015. How product attributes influence internationalization: A framework of domain-and culture-specificity. </w:t>
      </w:r>
      <w:r w:rsidRPr="004B5015">
        <w:rPr>
          <w:i/>
          <w:iCs/>
          <w:shd w:val="clear" w:color="auto" w:fill="FFFFFF"/>
        </w:rPr>
        <w:t>Management International Review</w:t>
      </w:r>
      <w:r w:rsidRPr="004B5015">
        <w:rPr>
          <w:shd w:val="clear" w:color="auto" w:fill="FFFFFF"/>
        </w:rPr>
        <w:t xml:space="preserve">, 55(1), 53-76. </w:t>
      </w:r>
    </w:p>
    <w:p w14:paraId="790E7E84" w14:textId="77777777" w:rsidR="00262481" w:rsidRPr="004B5015" w:rsidRDefault="00262481" w:rsidP="00262481">
      <w:pPr>
        <w:ind w:left="360" w:hanging="360"/>
        <w:jc w:val="both"/>
        <w:rPr>
          <w:shd w:val="clear" w:color="auto" w:fill="FFFFFF"/>
        </w:rPr>
      </w:pPr>
      <w:r w:rsidRPr="004B5015">
        <w:rPr>
          <w:shd w:val="clear" w:color="auto" w:fill="FFFFFF"/>
        </w:rPr>
        <w:t>Filatotchev, I., &amp; Piesse, J. 2009. R&amp;D, internationalization and growth of newly listed firms: European evidence. </w:t>
      </w:r>
      <w:r w:rsidRPr="004B5015">
        <w:rPr>
          <w:i/>
          <w:iCs/>
          <w:shd w:val="clear" w:color="auto" w:fill="FFFFFF"/>
        </w:rPr>
        <w:t>Journal of International Business Studies</w:t>
      </w:r>
      <w:r w:rsidRPr="004B5015">
        <w:rPr>
          <w:shd w:val="clear" w:color="auto" w:fill="FFFFFF"/>
        </w:rPr>
        <w:t>, 40(8), 1260-1276.</w:t>
      </w:r>
    </w:p>
    <w:p w14:paraId="5E887DC5" w14:textId="77777777" w:rsidR="00EA3B1C" w:rsidRDefault="00EA3B1C" w:rsidP="00262481">
      <w:pPr>
        <w:ind w:left="450" w:hanging="450"/>
        <w:jc w:val="both"/>
      </w:pPr>
      <w:r w:rsidRPr="00EA3B1C">
        <w:t xml:space="preserve">Garud, R., Kumaraswamy, A., Roberts, A., &amp; Xu, L. (2022). Liminal movement by digital platform‐based sharing economy ventures: The case of Uber Technologies. </w:t>
      </w:r>
      <w:r w:rsidRPr="00EA3B1C">
        <w:rPr>
          <w:i/>
          <w:iCs/>
        </w:rPr>
        <w:t>Strategic Management Journal</w:t>
      </w:r>
      <w:r w:rsidRPr="00EA3B1C">
        <w:t xml:space="preserve">, 43(3), 447-475. </w:t>
      </w:r>
    </w:p>
    <w:p w14:paraId="6E15003B" w14:textId="1103EC2F" w:rsidR="00262481" w:rsidRPr="004B5015" w:rsidRDefault="00262481" w:rsidP="00262481">
      <w:pPr>
        <w:ind w:left="450" w:hanging="450"/>
        <w:jc w:val="both"/>
      </w:pPr>
      <w:proofErr w:type="spellStart"/>
      <w:r w:rsidRPr="004B5015">
        <w:lastRenderedPageBreak/>
        <w:t>Gebauer</w:t>
      </w:r>
      <w:proofErr w:type="spellEnd"/>
      <w:r w:rsidRPr="004B5015">
        <w:t xml:space="preserve">, H., </w:t>
      </w:r>
      <w:proofErr w:type="spellStart"/>
      <w:r w:rsidRPr="004B5015">
        <w:t>Fleisch</w:t>
      </w:r>
      <w:proofErr w:type="spellEnd"/>
      <w:r w:rsidRPr="004B5015">
        <w:t>, E., Lamprecht, C., &amp; Wortmann, F. 2020. Growth paths for overcoming the digitalization paradox. </w:t>
      </w:r>
      <w:r w:rsidRPr="004B5015">
        <w:rPr>
          <w:i/>
          <w:iCs/>
        </w:rPr>
        <w:t>Business Horizons</w:t>
      </w:r>
      <w:r w:rsidRPr="004B5015">
        <w:t>, </w:t>
      </w:r>
      <w:r w:rsidRPr="004B5015">
        <w:rPr>
          <w:i/>
          <w:iCs/>
        </w:rPr>
        <w:t>63</w:t>
      </w:r>
      <w:r w:rsidRPr="004B5015">
        <w:t>(3), 313-323.</w:t>
      </w:r>
    </w:p>
    <w:p w14:paraId="36B6D9E2" w14:textId="62CB8824" w:rsidR="00262481" w:rsidRPr="004B5015" w:rsidRDefault="00262481" w:rsidP="00262481">
      <w:pPr>
        <w:ind w:left="360" w:hanging="360"/>
        <w:jc w:val="both"/>
      </w:pPr>
      <w:r w:rsidRPr="004B5015">
        <w:t>Ghemawat, P. 2001. Distance still matters. </w:t>
      </w:r>
      <w:r w:rsidRPr="004B5015">
        <w:rPr>
          <w:i/>
          <w:iCs/>
        </w:rPr>
        <w:t>Harvard Business Review</w:t>
      </w:r>
      <w:r w:rsidRPr="004B5015">
        <w:t>, 79(8), 137-147.</w:t>
      </w:r>
    </w:p>
    <w:p w14:paraId="46777B72" w14:textId="77777777" w:rsidR="00262481" w:rsidRPr="004B5015" w:rsidRDefault="00262481" w:rsidP="00262481">
      <w:pPr>
        <w:ind w:left="360" w:hanging="360"/>
        <w:jc w:val="both"/>
      </w:pPr>
      <w:r w:rsidRPr="004B5015">
        <w:t xml:space="preserve">Gulati, R., </w:t>
      </w:r>
      <w:proofErr w:type="spellStart"/>
      <w:r w:rsidRPr="004B5015">
        <w:t>Desantola</w:t>
      </w:r>
      <w:proofErr w:type="spellEnd"/>
      <w:r w:rsidRPr="004B5015">
        <w:t xml:space="preserve">, A. 2016. Start-ups that last: How to scale your business. </w:t>
      </w:r>
      <w:r w:rsidRPr="004B5015">
        <w:rPr>
          <w:i/>
          <w:iCs/>
        </w:rPr>
        <w:t xml:space="preserve">Harvard Business Review, </w:t>
      </w:r>
      <w:r w:rsidRPr="004B5015">
        <w:t>94(3), 54-61.</w:t>
      </w:r>
    </w:p>
    <w:p w14:paraId="7435AC01" w14:textId="68C61E77" w:rsidR="004C77B8" w:rsidRPr="004B5015" w:rsidRDefault="004C77B8" w:rsidP="00353138">
      <w:pPr>
        <w:snapToGrid w:val="0"/>
        <w:ind w:left="360" w:hanging="360"/>
        <w:jc w:val="both"/>
        <w:rPr>
          <w:rFonts w:eastAsiaTheme="minorEastAsia"/>
          <w:lang w:eastAsia="zh-CN"/>
        </w:rPr>
      </w:pPr>
      <w:r w:rsidRPr="004B5015">
        <w:rPr>
          <w:rFonts w:eastAsiaTheme="minorEastAsia"/>
          <w:lang w:eastAsia="zh-CN"/>
        </w:rPr>
        <w:t>Helfat</w:t>
      </w:r>
      <w:r w:rsidR="00D94052" w:rsidRPr="004B5015">
        <w:rPr>
          <w:rFonts w:eastAsiaTheme="minorEastAsia"/>
          <w:lang w:eastAsia="zh-CN"/>
        </w:rPr>
        <w:t>, C.E., Finkelstein, S., Mitchell, W., Peteraf, M.A., Sing, H., Teece, D.J. &amp; Winter, S.</w:t>
      </w:r>
      <w:r w:rsidRPr="004B5015">
        <w:rPr>
          <w:rFonts w:eastAsiaTheme="minorEastAsia"/>
          <w:lang w:eastAsia="zh-CN"/>
        </w:rPr>
        <w:t xml:space="preserve"> </w:t>
      </w:r>
      <w:r w:rsidR="00D94052" w:rsidRPr="004B5015">
        <w:rPr>
          <w:rFonts w:eastAsiaTheme="minorEastAsia"/>
          <w:lang w:eastAsia="zh-CN"/>
        </w:rPr>
        <w:t xml:space="preserve">2007. </w:t>
      </w:r>
      <w:r w:rsidR="00D94052" w:rsidRPr="004B5015">
        <w:rPr>
          <w:rFonts w:eastAsiaTheme="minorEastAsia"/>
          <w:i/>
          <w:iCs/>
          <w:lang w:eastAsia="zh-CN"/>
        </w:rPr>
        <w:t>Dynamic capabilities: Understanding strategic change in organizations.</w:t>
      </w:r>
      <w:r w:rsidR="00D94052" w:rsidRPr="004B5015">
        <w:rPr>
          <w:rFonts w:eastAsiaTheme="minorEastAsia"/>
          <w:lang w:eastAsia="zh-CN"/>
        </w:rPr>
        <w:t xml:space="preserve"> Blackwell Publishing.</w:t>
      </w:r>
    </w:p>
    <w:p w14:paraId="2E3CBBF8" w14:textId="0A798D7D" w:rsidR="00353138" w:rsidRPr="004B5015" w:rsidRDefault="00353138" w:rsidP="00353138">
      <w:pPr>
        <w:snapToGrid w:val="0"/>
        <w:ind w:left="360" w:hanging="360"/>
        <w:jc w:val="both"/>
        <w:rPr>
          <w:rFonts w:eastAsiaTheme="minorEastAsia"/>
          <w:lang w:eastAsia="zh-CN"/>
        </w:rPr>
      </w:pPr>
      <w:r w:rsidRPr="004B5015">
        <w:rPr>
          <w:rFonts w:eastAsiaTheme="minorEastAsia"/>
          <w:lang w:eastAsia="zh-CN"/>
        </w:rPr>
        <w:t>Hennart, J. F. 2009. Down with MNE-centric theories! Market entry and expansion as the bundling of MNE and local assets. </w:t>
      </w:r>
      <w:r w:rsidRPr="004B5015">
        <w:rPr>
          <w:rFonts w:eastAsiaTheme="minorEastAsia"/>
          <w:i/>
          <w:iCs/>
          <w:lang w:eastAsia="zh-CN"/>
        </w:rPr>
        <w:t>Journal of international business studies</w:t>
      </w:r>
      <w:r w:rsidRPr="004B5015">
        <w:rPr>
          <w:rFonts w:eastAsiaTheme="minorEastAsia"/>
          <w:lang w:eastAsia="zh-CN"/>
        </w:rPr>
        <w:t>, </w:t>
      </w:r>
      <w:r w:rsidRPr="004B5015">
        <w:rPr>
          <w:rFonts w:eastAsiaTheme="minorEastAsia"/>
          <w:i/>
          <w:iCs/>
          <w:lang w:eastAsia="zh-CN"/>
        </w:rPr>
        <w:t>40</w:t>
      </w:r>
      <w:r w:rsidRPr="004B5015">
        <w:rPr>
          <w:rFonts w:eastAsiaTheme="minorEastAsia"/>
          <w:lang w:eastAsia="zh-CN"/>
        </w:rPr>
        <w:t>(9), 1432-1454.</w:t>
      </w:r>
    </w:p>
    <w:p w14:paraId="34627D0C" w14:textId="772E32FB" w:rsidR="00262481" w:rsidRPr="004B5015" w:rsidRDefault="00262481" w:rsidP="00262481">
      <w:pPr>
        <w:snapToGrid w:val="0"/>
        <w:ind w:left="360" w:hanging="360"/>
        <w:jc w:val="both"/>
        <w:rPr>
          <w:rFonts w:eastAsiaTheme="minorEastAsia"/>
          <w:lang w:val="en-CA" w:eastAsia="zh-CN"/>
        </w:rPr>
      </w:pPr>
      <w:r w:rsidRPr="004B5015">
        <w:rPr>
          <w:rFonts w:eastAsiaTheme="minorEastAsia"/>
          <w:lang w:val="en-CA" w:eastAsia="zh-CN"/>
        </w:rPr>
        <w:t xml:space="preserve">Hennart, J.F. 2014. The accidental internationalists: A theory of born </w:t>
      </w:r>
      <w:proofErr w:type="spellStart"/>
      <w:r w:rsidRPr="004B5015">
        <w:rPr>
          <w:rFonts w:eastAsiaTheme="minorEastAsia"/>
          <w:lang w:val="en-CA" w:eastAsia="zh-CN"/>
        </w:rPr>
        <w:t>globals</w:t>
      </w:r>
      <w:proofErr w:type="spellEnd"/>
      <w:r w:rsidRPr="004B5015">
        <w:rPr>
          <w:rFonts w:eastAsiaTheme="minorEastAsia"/>
          <w:lang w:val="en-CA" w:eastAsia="zh-CN"/>
        </w:rPr>
        <w:t xml:space="preserve">. </w:t>
      </w:r>
      <w:r w:rsidRPr="004B5015">
        <w:rPr>
          <w:rFonts w:eastAsiaTheme="minorEastAsia"/>
          <w:i/>
          <w:lang w:val="en-CA" w:eastAsia="zh-CN"/>
        </w:rPr>
        <w:t>Entrepreneurship Theory and Practice</w:t>
      </w:r>
      <w:r w:rsidRPr="004B5015">
        <w:rPr>
          <w:rFonts w:eastAsiaTheme="minorEastAsia"/>
          <w:lang w:val="en-CA" w:eastAsia="zh-CN"/>
        </w:rPr>
        <w:t xml:space="preserve">, 38(1), 117-135. </w:t>
      </w:r>
    </w:p>
    <w:p w14:paraId="336C0E72" w14:textId="77777777" w:rsidR="00262481" w:rsidRPr="004B5015" w:rsidRDefault="00262481" w:rsidP="00262481">
      <w:pPr>
        <w:ind w:left="360" w:hanging="360"/>
        <w:jc w:val="both"/>
      </w:pPr>
      <w:r w:rsidRPr="004B5015">
        <w:t xml:space="preserve">Hoffman, R., &amp; Yeh, C. 2018. </w:t>
      </w:r>
      <w:proofErr w:type="spellStart"/>
      <w:r w:rsidRPr="004B5015">
        <w:rPr>
          <w:i/>
          <w:iCs/>
        </w:rPr>
        <w:t>Blitzscaling</w:t>
      </w:r>
      <w:proofErr w:type="spellEnd"/>
      <w:r w:rsidRPr="004B5015">
        <w:rPr>
          <w:i/>
          <w:iCs/>
        </w:rPr>
        <w:t>: The lightning-fast path to building massively valuable companies</w:t>
      </w:r>
      <w:r w:rsidRPr="004B5015">
        <w:t>. New York: Currency Books.</w:t>
      </w:r>
    </w:p>
    <w:p w14:paraId="53730268" w14:textId="77777777" w:rsidR="00262481" w:rsidRPr="004B5015" w:rsidRDefault="00262481" w:rsidP="00262481">
      <w:pPr>
        <w:snapToGrid w:val="0"/>
        <w:ind w:left="360" w:hanging="360"/>
        <w:jc w:val="both"/>
        <w:rPr>
          <w:rFonts w:eastAsiaTheme="minorEastAsia"/>
          <w:lang w:val="en-CA" w:eastAsia="zh-CN"/>
        </w:rPr>
      </w:pPr>
      <w:r w:rsidRPr="004B5015">
        <w:rPr>
          <w:rFonts w:eastAsiaTheme="minorEastAsia"/>
          <w:lang w:val="en-CA" w:eastAsia="zh-CN"/>
        </w:rPr>
        <w:t xml:space="preserve">Holm, A. E., </w:t>
      </w:r>
      <w:proofErr w:type="spellStart"/>
      <w:r w:rsidRPr="004B5015">
        <w:rPr>
          <w:rFonts w:eastAsiaTheme="minorEastAsia"/>
          <w:lang w:val="en-CA" w:eastAsia="zh-CN"/>
        </w:rPr>
        <w:t>Decreton</w:t>
      </w:r>
      <w:proofErr w:type="spellEnd"/>
      <w:r w:rsidRPr="004B5015">
        <w:rPr>
          <w:rFonts w:eastAsiaTheme="minorEastAsia"/>
          <w:lang w:val="en-CA" w:eastAsia="zh-CN"/>
        </w:rPr>
        <w:t xml:space="preserve">, B., Nell, P. C., &amp; </w:t>
      </w:r>
      <w:proofErr w:type="spellStart"/>
      <w:r w:rsidRPr="004B5015">
        <w:rPr>
          <w:rFonts w:eastAsiaTheme="minorEastAsia"/>
          <w:lang w:val="en-CA" w:eastAsia="zh-CN"/>
        </w:rPr>
        <w:t>Klopf</w:t>
      </w:r>
      <w:proofErr w:type="spellEnd"/>
      <w:r w:rsidRPr="004B5015">
        <w:rPr>
          <w:rFonts w:eastAsiaTheme="minorEastAsia"/>
          <w:lang w:val="en-CA" w:eastAsia="zh-CN"/>
        </w:rPr>
        <w:t xml:space="preserve">, P. 2017. The dynamic response process to conflicting institutional demands in MNC subsidiaries: An inductive study in the Sub-Saharan African e-commerce sector. </w:t>
      </w:r>
      <w:r w:rsidRPr="004B5015">
        <w:rPr>
          <w:rFonts w:eastAsiaTheme="minorEastAsia"/>
          <w:i/>
          <w:lang w:val="en-CA" w:eastAsia="zh-CN"/>
        </w:rPr>
        <w:t>Global Strategy Journal</w:t>
      </w:r>
      <w:r w:rsidRPr="004B5015">
        <w:rPr>
          <w:rFonts w:eastAsiaTheme="minorEastAsia"/>
          <w:lang w:val="en-CA" w:eastAsia="zh-CN"/>
        </w:rPr>
        <w:t xml:space="preserve">, 7(1), 104-124. </w:t>
      </w:r>
    </w:p>
    <w:p w14:paraId="7E302532" w14:textId="77777777" w:rsidR="00262481" w:rsidRPr="004B5015" w:rsidRDefault="00262481" w:rsidP="00262481">
      <w:pPr>
        <w:ind w:left="360" w:hanging="360"/>
        <w:jc w:val="both"/>
      </w:pPr>
      <w:r w:rsidRPr="004B5015">
        <w:t xml:space="preserve">Huang, J., Henfridsson, O., Liu, M. J., &amp; Newell, S. 2017. Growing on steroids: Rapidly scaling the user base of digital ventures through digital innovation. </w:t>
      </w:r>
      <w:r w:rsidRPr="004B5015">
        <w:rPr>
          <w:i/>
          <w:iCs/>
        </w:rPr>
        <w:t>MIS Quarterly</w:t>
      </w:r>
      <w:r w:rsidRPr="004B5015">
        <w:t>, 41(1), 301-314.</w:t>
      </w:r>
    </w:p>
    <w:p w14:paraId="5D911C70" w14:textId="5BDBB10D" w:rsidR="00846560" w:rsidRPr="004B5015" w:rsidRDefault="00846560" w:rsidP="00262481">
      <w:pPr>
        <w:ind w:left="360" w:hanging="360"/>
        <w:jc w:val="both"/>
        <w:rPr>
          <w:shd w:val="clear" w:color="auto" w:fill="FFFFFF"/>
        </w:rPr>
      </w:pPr>
      <w:r w:rsidRPr="004B5015">
        <w:rPr>
          <w:shd w:val="clear" w:color="auto" w:fill="FFFFFF"/>
        </w:rPr>
        <w:t xml:space="preserve">Hunt, R. A., Song, Y., Townsend, D. M., &amp; Stallkamp, M. 2021. Internationalization of entrepreneurial firms: Leveraging real options reasoning through affordable loss logics. </w:t>
      </w:r>
      <w:r w:rsidRPr="004B5015">
        <w:rPr>
          <w:i/>
          <w:iCs/>
          <w:shd w:val="clear" w:color="auto" w:fill="FFFFFF"/>
        </w:rPr>
        <w:t>Journal of Business Research</w:t>
      </w:r>
      <w:r w:rsidRPr="004B5015">
        <w:rPr>
          <w:shd w:val="clear" w:color="auto" w:fill="FFFFFF"/>
        </w:rPr>
        <w:t>, 133, 194-207.</w:t>
      </w:r>
    </w:p>
    <w:p w14:paraId="0251220D" w14:textId="18B671D4" w:rsidR="003412F9" w:rsidRPr="003412F9" w:rsidRDefault="003412F9" w:rsidP="003412F9">
      <w:pPr>
        <w:ind w:left="360" w:hanging="360"/>
        <w:jc w:val="both"/>
        <w:rPr>
          <w:color w:val="222222"/>
          <w:shd w:val="clear" w:color="auto" w:fill="FFFFFF"/>
        </w:rPr>
      </w:pPr>
      <w:r w:rsidRPr="003412F9">
        <w:rPr>
          <w:color w:val="222222"/>
          <w:shd w:val="clear" w:color="auto" w:fill="FFFFFF"/>
        </w:rPr>
        <w:t xml:space="preserve">Jafari-Sadeghi, V., Garcia-Perez, A., Candelo, E., &amp; Couturier, J. 2021. Exploring the impact of digital transformation on technology entrepreneurship and technological market expansion: The role of technology readiness, exploration and exploitation. </w:t>
      </w:r>
      <w:r w:rsidRPr="003412F9">
        <w:rPr>
          <w:i/>
          <w:iCs/>
          <w:color w:val="222222"/>
          <w:shd w:val="clear" w:color="auto" w:fill="FFFFFF"/>
        </w:rPr>
        <w:t>Journal of Business Research</w:t>
      </w:r>
      <w:r w:rsidRPr="003412F9">
        <w:rPr>
          <w:color w:val="222222"/>
          <w:shd w:val="clear" w:color="auto" w:fill="FFFFFF"/>
        </w:rPr>
        <w:t xml:space="preserve">, </w:t>
      </w:r>
      <w:r w:rsidRPr="003412F9">
        <w:rPr>
          <w:i/>
          <w:iCs/>
          <w:color w:val="222222"/>
          <w:shd w:val="clear" w:color="auto" w:fill="FFFFFF"/>
        </w:rPr>
        <w:t>124</w:t>
      </w:r>
      <w:r w:rsidRPr="003412F9">
        <w:rPr>
          <w:color w:val="222222"/>
          <w:shd w:val="clear" w:color="auto" w:fill="FFFFFF"/>
        </w:rPr>
        <w:t>, 100-111.</w:t>
      </w:r>
    </w:p>
    <w:p w14:paraId="7D93F40E" w14:textId="7C445E9F" w:rsidR="003412F9" w:rsidRPr="003412F9" w:rsidRDefault="003412F9" w:rsidP="003412F9">
      <w:pPr>
        <w:ind w:left="360" w:hanging="360"/>
        <w:jc w:val="both"/>
        <w:rPr>
          <w:color w:val="222222"/>
          <w:shd w:val="clear" w:color="auto" w:fill="FFFFFF"/>
        </w:rPr>
      </w:pPr>
      <w:r w:rsidRPr="003412F9">
        <w:rPr>
          <w:color w:val="222222"/>
          <w:shd w:val="clear" w:color="auto" w:fill="FFFFFF"/>
        </w:rPr>
        <w:t xml:space="preserve">Jafari-Sadeghi, V., </w:t>
      </w:r>
      <w:proofErr w:type="spellStart"/>
      <w:r w:rsidRPr="003412F9">
        <w:rPr>
          <w:color w:val="222222"/>
          <w:shd w:val="clear" w:color="auto" w:fill="FFFFFF"/>
        </w:rPr>
        <w:t>Mahdiraji</w:t>
      </w:r>
      <w:proofErr w:type="spellEnd"/>
      <w:r w:rsidRPr="003412F9">
        <w:rPr>
          <w:color w:val="222222"/>
          <w:shd w:val="clear" w:color="auto" w:fill="FFFFFF"/>
        </w:rPr>
        <w:t xml:space="preserve">, H. A., </w:t>
      </w:r>
      <w:proofErr w:type="spellStart"/>
      <w:r w:rsidRPr="003412F9">
        <w:rPr>
          <w:color w:val="222222"/>
          <w:shd w:val="clear" w:color="auto" w:fill="FFFFFF"/>
        </w:rPr>
        <w:t>Busso</w:t>
      </w:r>
      <w:proofErr w:type="spellEnd"/>
      <w:r w:rsidRPr="003412F9">
        <w:rPr>
          <w:color w:val="222222"/>
          <w:shd w:val="clear" w:color="auto" w:fill="FFFFFF"/>
        </w:rPr>
        <w:t xml:space="preserve">, D., &amp; </w:t>
      </w:r>
      <w:proofErr w:type="spellStart"/>
      <w:r w:rsidRPr="003412F9">
        <w:rPr>
          <w:color w:val="222222"/>
          <w:shd w:val="clear" w:color="auto" w:fill="FFFFFF"/>
        </w:rPr>
        <w:t>Yahiaoui</w:t>
      </w:r>
      <w:proofErr w:type="spellEnd"/>
      <w:r w:rsidRPr="003412F9">
        <w:rPr>
          <w:color w:val="222222"/>
          <w:shd w:val="clear" w:color="auto" w:fill="FFFFFF"/>
        </w:rPr>
        <w:t>, D. 2022. Towards agility in international high-tech SMEs: Exploring key drivers and main outcomes of dynamic capabilities. </w:t>
      </w:r>
      <w:r w:rsidRPr="003412F9">
        <w:rPr>
          <w:i/>
          <w:iCs/>
          <w:color w:val="222222"/>
          <w:shd w:val="clear" w:color="auto" w:fill="FFFFFF"/>
        </w:rPr>
        <w:t>Technological Forecasting and Social Change</w:t>
      </w:r>
      <w:r w:rsidRPr="003412F9">
        <w:rPr>
          <w:color w:val="222222"/>
          <w:shd w:val="clear" w:color="auto" w:fill="FFFFFF"/>
        </w:rPr>
        <w:t>, advance online publication.</w:t>
      </w:r>
    </w:p>
    <w:p w14:paraId="3006CB27" w14:textId="1CDB6057" w:rsidR="003412F9" w:rsidRPr="003412F9" w:rsidRDefault="003412F9" w:rsidP="003412F9">
      <w:pPr>
        <w:ind w:left="360" w:hanging="360"/>
        <w:jc w:val="both"/>
        <w:rPr>
          <w:color w:val="222222"/>
          <w:shd w:val="clear" w:color="auto" w:fill="FFFFFF"/>
        </w:rPr>
      </w:pPr>
      <w:r w:rsidRPr="003412F9">
        <w:rPr>
          <w:color w:val="222222"/>
          <w:shd w:val="clear" w:color="auto" w:fill="FFFFFF"/>
        </w:rPr>
        <w:t xml:space="preserve">Jafari-Sadeghi, V., </w:t>
      </w:r>
      <w:proofErr w:type="spellStart"/>
      <w:r w:rsidRPr="003412F9">
        <w:rPr>
          <w:color w:val="222222"/>
          <w:shd w:val="clear" w:color="auto" w:fill="FFFFFF"/>
        </w:rPr>
        <w:t>Mahdiraji</w:t>
      </w:r>
      <w:proofErr w:type="spellEnd"/>
      <w:r w:rsidRPr="003412F9">
        <w:rPr>
          <w:color w:val="222222"/>
          <w:shd w:val="clear" w:color="auto" w:fill="FFFFFF"/>
        </w:rPr>
        <w:t xml:space="preserve">, H. A., </w:t>
      </w:r>
      <w:proofErr w:type="spellStart"/>
      <w:r w:rsidRPr="003412F9">
        <w:rPr>
          <w:color w:val="222222"/>
          <w:shd w:val="clear" w:color="auto" w:fill="FFFFFF"/>
        </w:rPr>
        <w:t>Devalle</w:t>
      </w:r>
      <w:proofErr w:type="spellEnd"/>
      <w:r w:rsidRPr="003412F9">
        <w:rPr>
          <w:color w:val="222222"/>
          <w:shd w:val="clear" w:color="auto" w:fill="FFFFFF"/>
        </w:rPr>
        <w:t xml:space="preserve">, A., &amp; </w:t>
      </w:r>
      <w:proofErr w:type="spellStart"/>
      <w:r w:rsidRPr="003412F9">
        <w:rPr>
          <w:color w:val="222222"/>
          <w:shd w:val="clear" w:color="auto" w:fill="FFFFFF"/>
        </w:rPr>
        <w:t>Pellicelli</w:t>
      </w:r>
      <w:proofErr w:type="spellEnd"/>
      <w:r w:rsidRPr="003412F9">
        <w:rPr>
          <w:color w:val="222222"/>
          <w:shd w:val="clear" w:color="auto" w:fill="FFFFFF"/>
        </w:rPr>
        <w:t>, A. C. 2022. Somebody is hiding something: Disentangling interpersonal level drivers and consequences of knowledge hiding in international entrepreneurial firms. </w:t>
      </w:r>
      <w:r w:rsidRPr="003412F9">
        <w:rPr>
          <w:i/>
          <w:iCs/>
          <w:color w:val="222222"/>
          <w:shd w:val="clear" w:color="auto" w:fill="FFFFFF"/>
        </w:rPr>
        <w:t>Journal of Business Research</w:t>
      </w:r>
      <w:r w:rsidRPr="003412F9">
        <w:rPr>
          <w:color w:val="222222"/>
          <w:shd w:val="clear" w:color="auto" w:fill="FFFFFF"/>
        </w:rPr>
        <w:t>, </w:t>
      </w:r>
      <w:r w:rsidRPr="003412F9">
        <w:rPr>
          <w:i/>
          <w:iCs/>
          <w:color w:val="222222"/>
          <w:shd w:val="clear" w:color="auto" w:fill="FFFFFF"/>
        </w:rPr>
        <w:t>139</w:t>
      </w:r>
      <w:r w:rsidRPr="003412F9">
        <w:rPr>
          <w:color w:val="222222"/>
          <w:shd w:val="clear" w:color="auto" w:fill="FFFFFF"/>
        </w:rPr>
        <w:t>, 383-396.</w:t>
      </w:r>
    </w:p>
    <w:p w14:paraId="4F7BFE8C" w14:textId="71CB3408" w:rsidR="000B4BEF" w:rsidRPr="004B5015" w:rsidRDefault="000B4BEF" w:rsidP="00262481">
      <w:pPr>
        <w:ind w:left="360" w:hanging="360"/>
        <w:jc w:val="both"/>
        <w:rPr>
          <w:color w:val="222222"/>
          <w:shd w:val="clear" w:color="auto" w:fill="FFFFFF"/>
        </w:rPr>
      </w:pPr>
      <w:r w:rsidRPr="004B5015">
        <w:rPr>
          <w:color w:val="222222"/>
          <w:shd w:val="clear" w:color="auto" w:fill="FFFFFF"/>
        </w:rPr>
        <w:t>Jain, S. C. 1989. Standardization of international marketing strategy: some research hypotheses. </w:t>
      </w:r>
      <w:r w:rsidRPr="004B5015">
        <w:rPr>
          <w:i/>
          <w:iCs/>
          <w:color w:val="222222"/>
          <w:shd w:val="clear" w:color="auto" w:fill="FFFFFF"/>
        </w:rPr>
        <w:t>Journal of marketing</w:t>
      </w:r>
      <w:r w:rsidRPr="004B5015">
        <w:rPr>
          <w:color w:val="222222"/>
          <w:shd w:val="clear" w:color="auto" w:fill="FFFFFF"/>
        </w:rPr>
        <w:t>, </w:t>
      </w:r>
      <w:r w:rsidRPr="004B5015">
        <w:rPr>
          <w:i/>
          <w:iCs/>
          <w:color w:val="222222"/>
          <w:shd w:val="clear" w:color="auto" w:fill="FFFFFF"/>
        </w:rPr>
        <w:t>53</w:t>
      </w:r>
      <w:r w:rsidRPr="004B5015">
        <w:rPr>
          <w:color w:val="222222"/>
          <w:shd w:val="clear" w:color="auto" w:fill="FFFFFF"/>
        </w:rPr>
        <w:t>(1), 70-79.</w:t>
      </w:r>
    </w:p>
    <w:p w14:paraId="5A76738E" w14:textId="31DEE821" w:rsidR="00262481" w:rsidRPr="004B5015" w:rsidRDefault="00262481" w:rsidP="00262481">
      <w:pPr>
        <w:ind w:left="360" w:hanging="360"/>
        <w:jc w:val="both"/>
        <w:rPr>
          <w:shd w:val="clear" w:color="auto" w:fill="FFFFFF"/>
        </w:rPr>
      </w:pPr>
      <w:r w:rsidRPr="004B5015">
        <w:rPr>
          <w:shd w:val="clear" w:color="auto" w:fill="FFFFFF"/>
        </w:rPr>
        <w:t>Johanson, J., &amp; Vahlne, J. E. 1977. The internationalization process of the firm: A model of knowledge development and increasing foreign market commitments. </w:t>
      </w:r>
      <w:r w:rsidRPr="004B5015">
        <w:rPr>
          <w:i/>
          <w:iCs/>
          <w:shd w:val="clear" w:color="auto" w:fill="FFFFFF"/>
        </w:rPr>
        <w:t>Journal of International Business Studies</w:t>
      </w:r>
      <w:r w:rsidRPr="004B5015">
        <w:rPr>
          <w:shd w:val="clear" w:color="auto" w:fill="FFFFFF"/>
        </w:rPr>
        <w:t>, 8(1), 23-32.</w:t>
      </w:r>
    </w:p>
    <w:p w14:paraId="37051972" w14:textId="5F32DCA4" w:rsidR="003412F9" w:rsidRPr="003412F9" w:rsidRDefault="003412F9" w:rsidP="003412F9">
      <w:pPr>
        <w:ind w:left="360" w:hanging="360"/>
        <w:jc w:val="both"/>
        <w:rPr>
          <w:shd w:val="clear" w:color="auto" w:fill="FFFFFF"/>
        </w:rPr>
      </w:pPr>
      <w:proofErr w:type="spellStart"/>
      <w:r w:rsidRPr="003412F9">
        <w:rPr>
          <w:shd w:val="clear" w:color="auto" w:fill="FFFFFF"/>
        </w:rPr>
        <w:t>Katsikeas</w:t>
      </w:r>
      <w:proofErr w:type="spellEnd"/>
      <w:r w:rsidRPr="003412F9">
        <w:rPr>
          <w:shd w:val="clear" w:color="auto" w:fill="FFFFFF"/>
        </w:rPr>
        <w:t xml:space="preserve">, C., </w:t>
      </w:r>
      <w:proofErr w:type="spellStart"/>
      <w:r w:rsidRPr="003412F9">
        <w:rPr>
          <w:shd w:val="clear" w:color="auto" w:fill="FFFFFF"/>
        </w:rPr>
        <w:t>Leonidou</w:t>
      </w:r>
      <w:proofErr w:type="spellEnd"/>
      <w:r w:rsidRPr="003412F9">
        <w:rPr>
          <w:shd w:val="clear" w:color="auto" w:fill="FFFFFF"/>
        </w:rPr>
        <w:t xml:space="preserve">, L. &amp; </w:t>
      </w:r>
      <w:proofErr w:type="spellStart"/>
      <w:r w:rsidRPr="003412F9">
        <w:rPr>
          <w:shd w:val="clear" w:color="auto" w:fill="FFFFFF"/>
        </w:rPr>
        <w:t>Zeriti</w:t>
      </w:r>
      <w:proofErr w:type="spellEnd"/>
      <w:r w:rsidRPr="003412F9">
        <w:rPr>
          <w:shd w:val="clear" w:color="auto" w:fill="FFFFFF"/>
        </w:rPr>
        <w:t xml:space="preserve">, A. 2020. Revisiting international marketing strategy in a digital era: Opportunities, challenges, and research directions. </w:t>
      </w:r>
      <w:r w:rsidRPr="003412F9">
        <w:rPr>
          <w:i/>
          <w:iCs/>
          <w:shd w:val="clear" w:color="auto" w:fill="FFFFFF"/>
        </w:rPr>
        <w:t>International Marketing Review</w:t>
      </w:r>
      <w:r w:rsidRPr="003412F9">
        <w:rPr>
          <w:shd w:val="clear" w:color="auto" w:fill="FFFFFF"/>
        </w:rPr>
        <w:t>, 37(3), 405-424.</w:t>
      </w:r>
    </w:p>
    <w:p w14:paraId="467E1096" w14:textId="1A33EFBC" w:rsidR="00262481" w:rsidRPr="004B5015" w:rsidRDefault="00262481" w:rsidP="00262481">
      <w:pPr>
        <w:ind w:left="360" w:hanging="360"/>
        <w:jc w:val="both"/>
        <w:rPr>
          <w:shd w:val="clear" w:color="auto" w:fill="FFFFFF"/>
        </w:rPr>
      </w:pPr>
      <w:proofErr w:type="spellStart"/>
      <w:r w:rsidRPr="004B5015">
        <w:rPr>
          <w:shd w:val="clear" w:color="auto" w:fill="FFFFFF"/>
        </w:rPr>
        <w:t>Karaca</w:t>
      </w:r>
      <w:proofErr w:type="spellEnd"/>
      <w:r w:rsidRPr="004B5015">
        <w:rPr>
          <w:shd w:val="clear" w:color="auto" w:fill="FFFFFF"/>
        </w:rPr>
        <w:t>-Mandic, P. Norton, E. C., &amp; Dowd, B. 2012</w:t>
      </w:r>
      <w:r w:rsidR="00130F6D" w:rsidRPr="004B5015">
        <w:rPr>
          <w:shd w:val="clear" w:color="auto" w:fill="FFFFFF"/>
        </w:rPr>
        <w:t>.</w:t>
      </w:r>
      <w:r w:rsidRPr="004B5015">
        <w:rPr>
          <w:shd w:val="clear" w:color="auto" w:fill="FFFFFF"/>
        </w:rPr>
        <w:t xml:space="preserve"> Interaction terms in nonlinear models. </w:t>
      </w:r>
      <w:r w:rsidRPr="004B5015">
        <w:rPr>
          <w:i/>
          <w:iCs/>
          <w:shd w:val="clear" w:color="auto" w:fill="FFFFFF"/>
        </w:rPr>
        <w:t>Health Services Research</w:t>
      </w:r>
      <w:r w:rsidRPr="004B5015">
        <w:rPr>
          <w:shd w:val="clear" w:color="auto" w:fill="FFFFFF"/>
        </w:rPr>
        <w:t>, 47(1), 255-274.</w:t>
      </w:r>
    </w:p>
    <w:p w14:paraId="581D23E4" w14:textId="77777777" w:rsidR="001A7FDF" w:rsidRDefault="00262481" w:rsidP="00262481">
      <w:pPr>
        <w:ind w:left="360" w:hanging="360"/>
        <w:jc w:val="both"/>
      </w:pPr>
      <w:r w:rsidRPr="004B5015">
        <w:t>Knight, G. A., &amp; Cavusgil, S. T. 2004. Innovation, organizational capabilities, and the born-global firm. </w:t>
      </w:r>
      <w:r w:rsidRPr="004B5015">
        <w:rPr>
          <w:i/>
          <w:iCs/>
        </w:rPr>
        <w:t>Journal of International Business Studies</w:t>
      </w:r>
      <w:r w:rsidRPr="004B5015">
        <w:t>, 35(2), 124-141.</w:t>
      </w:r>
    </w:p>
    <w:p w14:paraId="10BE7C38" w14:textId="48138A69" w:rsidR="00262481" w:rsidRPr="004B5015" w:rsidRDefault="00262481" w:rsidP="00262481">
      <w:pPr>
        <w:ind w:left="360" w:hanging="360"/>
        <w:jc w:val="both"/>
      </w:pPr>
      <w:proofErr w:type="spellStart"/>
      <w:r w:rsidRPr="004B5015">
        <w:lastRenderedPageBreak/>
        <w:t>Koetsier</w:t>
      </w:r>
      <w:proofErr w:type="spellEnd"/>
      <w:r w:rsidRPr="004B5015">
        <w:t xml:space="preserve">, J. 2020. Facebook makes 300,000 content moderation mistakes every day.  </w:t>
      </w:r>
      <w:r w:rsidRPr="004B5015">
        <w:rPr>
          <w:i/>
          <w:iCs/>
        </w:rPr>
        <w:t>Forbes</w:t>
      </w:r>
      <w:r w:rsidRPr="004B5015">
        <w:t xml:space="preserve">. Accessed </w:t>
      </w:r>
      <w:r w:rsidR="00EA3B1C">
        <w:t>March 22</w:t>
      </w:r>
      <w:r w:rsidRPr="004B5015">
        <w:t>, 202</w:t>
      </w:r>
      <w:r w:rsidR="00EA3B1C">
        <w:t>2</w:t>
      </w:r>
      <w:r w:rsidRPr="004B5015">
        <w:t xml:space="preserve">.  </w:t>
      </w:r>
      <w:hyperlink r:id="rId11" w:history="1">
        <w:r w:rsidRPr="004B5015">
          <w:rPr>
            <w:rStyle w:val="Hyperlink"/>
            <w:color w:val="auto"/>
            <w:u w:val="none"/>
          </w:rPr>
          <w:t>https://www.forbes.com/sites/johnkoetsier/2020/06/09/300000-facebook-content-moderation-mistakes-daily-report-says/#2be212f254d0</w:t>
        </w:r>
      </w:hyperlink>
    </w:p>
    <w:p w14:paraId="372C5574" w14:textId="77777777" w:rsidR="004C77B8" w:rsidRPr="004B5015" w:rsidRDefault="004C77B8" w:rsidP="004C77B8">
      <w:pPr>
        <w:ind w:left="360" w:hanging="360"/>
        <w:jc w:val="both"/>
      </w:pPr>
      <w:r w:rsidRPr="004B5015">
        <w:t xml:space="preserve">Kraus, S., Ambos, T. C., Eggers, F., &amp; </w:t>
      </w:r>
      <w:proofErr w:type="spellStart"/>
      <w:r w:rsidRPr="004B5015">
        <w:t>Cesinger</w:t>
      </w:r>
      <w:proofErr w:type="spellEnd"/>
      <w:r w:rsidRPr="004B5015">
        <w:t xml:space="preserve">, B. 2015. Distance and perceptions of risk in internationalization decisions. </w:t>
      </w:r>
      <w:r w:rsidRPr="004B5015">
        <w:rPr>
          <w:i/>
          <w:iCs/>
        </w:rPr>
        <w:t>Journal of Business Research</w:t>
      </w:r>
      <w:r w:rsidRPr="004B5015">
        <w:t>, 68(7), 1501-1505.</w:t>
      </w:r>
    </w:p>
    <w:p w14:paraId="0DE92381" w14:textId="508C4066" w:rsidR="000B4BEF" w:rsidRPr="004B5015" w:rsidRDefault="000B4BEF" w:rsidP="00262481">
      <w:pPr>
        <w:ind w:left="360" w:hanging="360"/>
        <w:jc w:val="both"/>
        <w:rPr>
          <w:color w:val="222222"/>
          <w:shd w:val="clear" w:color="auto" w:fill="FFFFFF"/>
        </w:rPr>
      </w:pPr>
      <w:r w:rsidRPr="004B5015">
        <w:rPr>
          <w:color w:val="222222"/>
          <w:shd w:val="clear" w:color="auto" w:fill="FFFFFF"/>
        </w:rPr>
        <w:t>Levinthal, D. A., &amp; Wu, B. 2010. Opportunity costs and non‐scale free capabilities: profit maximization, corporate scope, and profit margins. </w:t>
      </w:r>
      <w:r w:rsidRPr="004B5015">
        <w:rPr>
          <w:i/>
          <w:iCs/>
          <w:color w:val="222222"/>
          <w:shd w:val="clear" w:color="auto" w:fill="FFFFFF"/>
        </w:rPr>
        <w:t>Strategic Management Journal</w:t>
      </w:r>
      <w:r w:rsidRPr="004B5015">
        <w:rPr>
          <w:color w:val="222222"/>
          <w:shd w:val="clear" w:color="auto" w:fill="FFFFFF"/>
        </w:rPr>
        <w:t>, </w:t>
      </w:r>
      <w:r w:rsidRPr="004B5015">
        <w:rPr>
          <w:i/>
          <w:iCs/>
          <w:color w:val="222222"/>
          <w:shd w:val="clear" w:color="auto" w:fill="FFFFFF"/>
        </w:rPr>
        <w:t>31</w:t>
      </w:r>
      <w:r w:rsidRPr="004B5015">
        <w:rPr>
          <w:color w:val="222222"/>
          <w:shd w:val="clear" w:color="auto" w:fill="FFFFFF"/>
        </w:rPr>
        <w:t>(7), 780-801.</w:t>
      </w:r>
    </w:p>
    <w:p w14:paraId="3891D89D" w14:textId="237FA5D0" w:rsidR="00EA7E99" w:rsidRPr="00EA7E99" w:rsidRDefault="00EA7E99" w:rsidP="00262481">
      <w:pPr>
        <w:ind w:left="360" w:hanging="360"/>
        <w:jc w:val="both"/>
      </w:pPr>
      <w:r>
        <w:t xml:space="preserve">Levitt, T. 1983. The globalization of markets. </w:t>
      </w:r>
      <w:r>
        <w:rPr>
          <w:i/>
          <w:iCs/>
        </w:rPr>
        <w:t>Harvard Business Review</w:t>
      </w:r>
      <w:r>
        <w:t>, 61(3), 92-102.</w:t>
      </w:r>
    </w:p>
    <w:p w14:paraId="15BECE37" w14:textId="75695110" w:rsidR="00262481" w:rsidRPr="004B5015" w:rsidRDefault="00262481" w:rsidP="00262481">
      <w:pPr>
        <w:ind w:left="360" w:hanging="360"/>
        <w:jc w:val="both"/>
      </w:pPr>
      <w:r w:rsidRPr="004B5015">
        <w:t>Libert, B., Beck, M., &amp; Wind, Y. 2016. Investors today prefer companies with fewer physical assets. </w:t>
      </w:r>
      <w:r w:rsidRPr="004B5015">
        <w:rPr>
          <w:i/>
          <w:iCs/>
        </w:rPr>
        <w:t>Harvard Business Review Online.</w:t>
      </w:r>
      <w:r w:rsidRPr="004B5015">
        <w:t xml:space="preserve"> Accessed </w:t>
      </w:r>
      <w:r w:rsidR="00EA3B1C">
        <w:t>March 22, 2022</w:t>
      </w:r>
      <w:r w:rsidRPr="004B5015">
        <w:t>.</w:t>
      </w:r>
      <w:r w:rsidRPr="004B5015">
        <w:rPr>
          <w:iCs/>
        </w:rPr>
        <w:t xml:space="preserve"> https://hbr. org/2016/09/investors-today-prefer-companies-with-fewer-physical-assets</w:t>
      </w:r>
    </w:p>
    <w:p w14:paraId="702285C5" w14:textId="396334AB" w:rsidR="004C77B8" w:rsidRPr="004B5015" w:rsidRDefault="000B4BEF" w:rsidP="00262481">
      <w:pPr>
        <w:ind w:left="360" w:hanging="360"/>
        <w:jc w:val="both"/>
      </w:pPr>
      <w:r w:rsidRPr="004B5015">
        <w:rPr>
          <w:color w:val="222222"/>
          <w:shd w:val="clear" w:color="auto" w:fill="FFFFFF"/>
        </w:rPr>
        <w:t>Lopez, L. E., Kundu, S. K., &amp; Ciravegna, L. 2009. Born global or born regional? Evidence from an exploratory study in the Costa Rican software industry. </w:t>
      </w:r>
      <w:r w:rsidRPr="004B5015">
        <w:rPr>
          <w:i/>
          <w:iCs/>
          <w:color w:val="222222"/>
          <w:shd w:val="clear" w:color="auto" w:fill="FFFFFF"/>
        </w:rPr>
        <w:t>Journal of International Business Studies</w:t>
      </w:r>
      <w:r w:rsidRPr="004B5015">
        <w:rPr>
          <w:color w:val="222222"/>
          <w:shd w:val="clear" w:color="auto" w:fill="FFFFFF"/>
        </w:rPr>
        <w:t>, </w:t>
      </w:r>
      <w:r w:rsidRPr="004B5015">
        <w:rPr>
          <w:i/>
          <w:iCs/>
          <w:color w:val="222222"/>
          <w:shd w:val="clear" w:color="auto" w:fill="FFFFFF"/>
        </w:rPr>
        <w:t>40</w:t>
      </w:r>
      <w:r w:rsidRPr="004B5015">
        <w:rPr>
          <w:color w:val="222222"/>
          <w:shd w:val="clear" w:color="auto" w:fill="FFFFFF"/>
        </w:rPr>
        <w:t>(7), 1228-1238.</w:t>
      </w:r>
    </w:p>
    <w:p w14:paraId="4BC043A6" w14:textId="5519EDDF" w:rsidR="00130F6D" w:rsidRPr="004B5015" w:rsidRDefault="00130F6D" w:rsidP="00262481">
      <w:pPr>
        <w:ind w:left="360" w:hanging="360"/>
        <w:jc w:val="both"/>
      </w:pPr>
      <w:proofErr w:type="spellStart"/>
      <w:r w:rsidRPr="004B5015">
        <w:t>Mandler</w:t>
      </w:r>
      <w:proofErr w:type="spellEnd"/>
      <w:r w:rsidRPr="004B5015">
        <w:t xml:space="preserve">, T., </w:t>
      </w:r>
      <w:proofErr w:type="spellStart"/>
      <w:r w:rsidRPr="004B5015">
        <w:t>Sezen</w:t>
      </w:r>
      <w:proofErr w:type="spellEnd"/>
      <w:r w:rsidRPr="004B5015">
        <w:t xml:space="preserve">, B., Chen, J., &amp; </w:t>
      </w:r>
      <w:proofErr w:type="spellStart"/>
      <w:r w:rsidRPr="004B5015">
        <w:t>Özsomer</w:t>
      </w:r>
      <w:proofErr w:type="spellEnd"/>
      <w:r w:rsidRPr="004B5015">
        <w:t xml:space="preserve">, A. 2021. Performance consequences of marketing standardization/adaptation: A systematic literature review and future research agenda. </w:t>
      </w:r>
      <w:r w:rsidRPr="004B5015">
        <w:rPr>
          <w:i/>
          <w:iCs/>
        </w:rPr>
        <w:t>Journal of Business Research</w:t>
      </w:r>
      <w:r w:rsidRPr="004B5015">
        <w:t>, 125, 416-435.</w:t>
      </w:r>
    </w:p>
    <w:p w14:paraId="3668501C" w14:textId="77777777" w:rsidR="00262481" w:rsidRPr="004B5015" w:rsidRDefault="00262481" w:rsidP="00262481">
      <w:pPr>
        <w:ind w:left="360" w:hanging="360"/>
        <w:jc w:val="both"/>
        <w:rPr>
          <w:shd w:val="clear" w:color="auto" w:fill="FFFFFF"/>
        </w:rPr>
      </w:pPr>
      <w:r w:rsidRPr="004B5015">
        <w:rPr>
          <w:shd w:val="clear" w:color="auto" w:fill="FFFFFF"/>
        </w:rPr>
        <w:t>Matthews, R. S., Chalmers, D. M., &amp; Fraser, S. S. 2018. The intersection of entrepreneurship and selling: An interdisciplinary review, framework, and future research agenda. </w:t>
      </w:r>
      <w:r w:rsidRPr="004B5015">
        <w:rPr>
          <w:i/>
          <w:iCs/>
          <w:shd w:val="clear" w:color="auto" w:fill="FFFFFF"/>
        </w:rPr>
        <w:t>Journal of Business Venturing</w:t>
      </w:r>
      <w:r w:rsidRPr="004B5015">
        <w:rPr>
          <w:shd w:val="clear" w:color="auto" w:fill="FFFFFF"/>
        </w:rPr>
        <w:t>, 33(6), 691-719.</w:t>
      </w:r>
    </w:p>
    <w:p w14:paraId="5AD60981" w14:textId="77777777" w:rsidR="00262481" w:rsidRPr="004B5015" w:rsidRDefault="00262481" w:rsidP="00262481">
      <w:pPr>
        <w:ind w:left="360" w:hanging="360"/>
        <w:jc w:val="both"/>
      </w:pPr>
      <w:r w:rsidRPr="004B5015">
        <w:t xml:space="preserve">Mauer, D. C., Wang, S., Wang, X., &amp; Zhang, Y. 2015. Global diversification and IPO returns. </w:t>
      </w:r>
      <w:r w:rsidRPr="004B5015">
        <w:rPr>
          <w:i/>
          <w:iCs/>
        </w:rPr>
        <w:t>Journal of Banking, Finance</w:t>
      </w:r>
      <w:r w:rsidRPr="004B5015">
        <w:t>, 58, 436-456.</w:t>
      </w:r>
    </w:p>
    <w:p w14:paraId="60377C2B" w14:textId="5F49340E" w:rsidR="00262481" w:rsidRPr="004B5015" w:rsidRDefault="00262481" w:rsidP="00262481">
      <w:pPr>
        <w:spacing w:line="276" w:lineRule="auto"/>
        <w:ind w:left="450" w:hanging="450"/>
        <w:jc w:val="both"/>
      </w:pPr>
      <w:bookmarkStart w:id="84" w:name="_Hlk89866000"/>
      <w:proofErr w:type="spellStart"/>
      <w:r w:rsidRPr="004B5015">
        <w:t>Miric</w:t>
      </w:r>
      <w:proofErr w:type="spellEnd"/>
      <w:r w:rsidRPr="004B5015">
        <w:t xml:space="preserve">, M., Pagani, M., &amp; El </w:t>
      </w:r>
      <w:proofErr w:type="spellStart"/>
      <w:r w:rsidRPr="004B5015">
        <w:t>Sawy</w:t>
      </w:r>
      <w:bookmarkEnd w:id="84"/>
      <w:proofErr w:type="spellEnd"/>
      <w:r w:rsidRPr="004B5015">
        <w:t>, O. A. 2021. When and Who Do Platform Companies Acquire? Understanding the Role of Acquisitions in the Growth of Platform Companies.</w:t>
      </w:r>
      <w:r w:rsidRPr="004B5015">
        <w:rPr>
          <w:i/>
          <w:iCs/>
        </w:rPr>
        <w:t xml:space="preserve"> MIS Quarterly</w:t>
      </w:r>
      <w:r w:rsidRPr="004B5015">
        <w:t>.</w:t>
      </w:r>
    </w:p>
    <w:p w14:paraId="562B06D9" w14:textId="77777777" w:rsidR="00262481" w:rsidRPr="004B5015" w:rsidRDefault="00262481" w:rsidP="00262481">
      <w:pPr>
        <w:ind w:left="360" w:hanging="360"/>
        <w:jc w:val="both"/>
        <w:rPr>
          <w:shd w:val="clear" w:color="auto" w:fill="FFFFFF"/>
        </w:rPr>
      </w:pPr>
      <w:r w:rsidRPr="004B5015">
        <w:rPr>
          <w:shd w:val="clear" w:color="auto" w:fill="FFFFFF"/>
        </w:rPr>
        <w:t xml:space="preserve">Monaghan, S., &amp; Tippmann, E. 2018. Becoming a multinational enterprise: Using industry recipes to achieve rapid </w:t>
      </w:r>
      <w:proofErr w:type="spellStart"/>
      <w:r w:rsidRPr="004B5015">
        <w:rPr>
          <w:shd w:val="clear" w:color="auto" w:fill="FFFFFF"/>
        </w:rPr>
        <w:t>multinationalization</w:t>
      </w:r>
      <w:proofErr w:type="spellEnd"/>
      <w:r w:rsidRPr="004B5015">
        <w:rPr>
          <w:shd w:val="clear" w:color="auto" w:fill="FFFFFF"/>
        </w:rPr>
        <w:t xml:space="preserve">. </w:t>
      </w:r>
      <w:r w:rsidRPr="004B5015">
        <w:rPr>
          <w:i/>
          <w:iCs/>
          <w:shd w:val="clear" w:color="auto" w:fill="FFFFFF"/>
        </w:rPr>
        <w:t>Journal of International Business Studies</w:t>
      </w:r>
      <w:r w:rsidRPr="004B5015">
        <w:rPr>
          <w:shd w:val="clear" w:color="auto" w:fill="FFFFFF"/>
        </w:rPr>
        <w:t>,49(4),473-495.</w:t>
      </w:r>
    </w:p>
    <w:p w14:paraId="4BB28507" w14:textId="77777777" w:rsidR="00262481" w:rsidRPr="004B5015" w:rsidRDefault="00262481" w:rsidP="00262481">
      <w:pPr>
        <w:ind w:left="360" w:hanging="360"/>
        <w:jc w:val="both"/>
        <w:rPr>
          <w:shd w:val="clear" w:color="auto" w:fill="FFFFFF"/>
        </w:rPr>
      </w:pPr>
      <w:r w:rsidRPr="004B5015">
        <w:rPr>
          <w:shd w:val="clear" w:color="auto" w:fill="FFFFFF"/>
        </w:rPr>
        <w:t>Monaghan, S., Tippmann, E., &amp; Coviello, N. 2020. Born digitals: Thoughts on their internationalization and a research agenda. </w:t>
      </w:r>
      <w:r w:rsidRPr="004B5015">
        <w:rPr>
          <w:i/>
          <w:iCs/>
          <w:shd w:val="clear" w:color="auto" w:fill="FFFFFF"/>
        </w:rPr>
        <w:t>Journal of International Business Studies</w:t>
      </w:r>
      <w:r w:rsidRPr="004B5015">
        <w:rPr>
          <w:shd w:val="clear" w:color="auto" w:fill="FFFFFF"/>
        </w:rPr>
        <w:t>, 51(1), 11-22.</w:t>
      </w:r>
    </w:p>
    <w:p w14:paraId="1AA6415A" w14:textId="77777777" w:rsidR="00262481" w:rsidRPr="004B5015" w:rsidRDefault="00262481" w:rsidP="00262481">
      <w:pPr>
        <w:ind w:left="360" w:hanging="360"/>
        <w:jc w:val="both"/>
      </w:pPr>
      <w:r w:rsidRPr="004B5015">
        <w:t>Nambisan, S. 2017. Digital entrepreneurship: Toward a digital technology perspective of entrepreneurship. </w:t>
      </w:r>
      <w:r w:rsidRPr="004B5015">
        <w:rPr>
          <w:i/>
          <w:iCs/>
        </w:rPr>
        <w:t>Entrepreneurship Theory and Practice</w:t>
      </w:r>
      <w:r w:rsidRPr="004B5015">
        <w:t>, 41(6), 1029-1055.</w:t>
      </w:r>
    </w:p>
    <w:p w14:paraId="0125979A" w14:textId="2797CDC6" w:rsidR="00262481" w:rsidRPr="004B5015" w:rsidRDefault="00262481" w:rsidP="00262481">
      <w:pPr>
        <w:ind w:left="360" w:hanging="360"/>
        <w:jc w:val="both"/>
        <w:rPr>
          <w:shd w:val="clear" w:color="auto" w:fill="FFFFFF"/>
        </w:rPr>
      </w:pPr>
      <w:r w:rsidRPr="004B5015">
        <w:rPr>
          <w:shd w:val="clear" w:color="auto" w:fill="FFFFFF"/>
        </w:rPr>
        <w:t xml:space="preserve">Norton, E. C., Wang, H., &amp; Ai, C. 2004. Computing interaction effects and standard errors in logit and probit models. </w:t>
      </w:r>
      <w:r w:rsidRPr="004B5015">
        <w:rPr>
          <w:i/>
          <w:iCs/>
          <w:shd w:val="clear" w:color="auto" w:fill="FFFFFF"/>
        </w:rPr>
        <w:t>The Stata Journal</w:t>
      </w:r>
      <w:r w:rsidRPr="004B5015">
        <w:rPr>
          <w:shd w:val="clear" w:color="auto" w:fill="FFFFFF"/>
        </w:rPr>
        <w:t>, 4(2), 154-167.</w:t>
      </w:r>
    </w:p>
    <w:p w14:paraId="1A35A8F1" w14:textId="77777777" w:rsidR="00262481" w:rsidRPr="004B5015" w:rsidRDefault="00262481" w:rsidP="00262481">
      <w:pPr>
        <w:ind w:left="360" w:hanging="360"/>
        <w:jc w:val="both"/>
      </w:pPr>
      <w:proofErr w:type="spellStart"/>
      <w:r w:rsidRPr="004B5015">
        <w:t>Onetti</w:t>
      </w:r>
      <w:proofErr w:type="spellEnd"/>
      <w:r w:rsidRPr="004B5015">
        <w:t>, A., Zucchella, A., Jones, M. V., &amp; McDougall-Covin, P. P. 2012. Internationalization, innovation and entrepreneurship: Business models for new technology-based firms. </w:t>
      </w:r>
      <w:r w:rsidRPr="004B5015">
        <w:rPr>
          <w:i/>
          <w:iCs/>
        </w:rPr>
        <w:t>Journal of Management, Governance</w:t>
      </w:r>
      <w:r w:rsidRPr="004B5015">
        <w:t>, 16(3), 337-368.</w:t>
      </w:r>
    </w:p>
    <w:p w14:paraId="179EEFA9" w14:textId="77777777" w:rsidR="00262481" w:rsidRPr="004B5015" w:rsidRDefault="00262481" w:rsidP="00262481">
      <w:pPr>
        <w:ind w:left="360" w:hanging="360"/>
        <w:jc w:val="both"/>
        <w:rPr>
          <w:shd w:val="clear" w:color="auto" w:fill="FFFFFF"/>
        </w:rPr>
      </w:pPr>
      <w:r w:rsidRPr="004B5015">
        <w:rPr>
          <w:shd w:val="clear" w:color="auto" w:fill="FFFFFF"/>
        </w:rPr>
        <w:t>Oviatt, B. M., &amp; McDougall, P. P. 1994. Toward a theory of international new ventures. </w:t>
      </w:r>
      <w:r w:rsidRPr="004B5015">
        <w:rPr>
          <w:i/>
          <w:iCs/>
          <w:shd w:val="clear" w:color="auto" w:fill="FFFFFF"/>
        </w:rPr>
        <w:t>Journal of International Business Studies</w:t>
      </w:r>
      <w:r w:rsidRPr="004B5015">
        <w:rPr>
          <w:shd w:val="clear" w:color="auto" w:fill="FFFFFF"/>
        </w:rPr>
        <w:t>, 25(1), 45-64.</w:t>
      </w:r>
    </w:p>
    <w:p w14:paraId="707CEC7D" w14:textId="67ED099C" w:rsidR="0064466D" w:rsidRPr="004B5015" w:rsidRDefault="0064466D" w:rsidP="00262481">
      <w:pPr>
        <w:ind w:left="360" w:hanging="360"/>
        <w:jc w:val="both"/>
        <w:rPr>
          <w:shd w:val="clear" w:color="auto" w:fill="FFFFFF"/>
        </w:rPr>
      </w:pPr>
      <w:r w:rsidRPr="004B5015">
        <w:rPr>
          <w:shd w:val="clear" w:color="auto" w:fill="FFFFFF"/>
        </w:rPr>
        <w:t xml:space="preserve">Passman, P. 2021. Supply chains face new demands after Covid-19: Digital transformation, climate, and security. Center for Strategic and International Studies. Accessed </w:t>
      </w:r>
      <w:r w:rsidR="00EA3B1C">
        <w:rPr>
          <w:shd w:val="clear" w:color="auto" w:fill="FFFFFF"/>
        </w:rPr>
        <w:t>on March 22, 2022</w:t>
      </w:r>
      <w:r w:rsidRPr="004B5015">
        <w:rPr>
          <w:shd w:val="clear" w:color="auto" w:fill="FFFFFF"/>
        </w:rPr>
        <w:t>: https://www.csis.org/analysis/supply-chains-face-new-demands-after-covid-19-digital-transformation-climate-and-security</w:t>
      </w:r>
    </w:p>
    <w:p w14:paraId="4FCA457F" w14:textId="123403A8" w:rsidR="00262481" w:rsidRPr="004B5015" w:rsidRDefault="00262481" w:rsidP="00262481">
      <w:pPr>
        <w:ind w:left="360" w:hanging="360"/>
        <w:jc w:val="both"/>
        <w:rPr>
          <w:shd w:val="clear" w:color="auto" w:fill="FFFFFF"/>
        </w:rPr>
      </w:pPr>
      <w:r w:rsidRPr="004B5015">
        <w:rPr>
          <w:shd w:val="clear" w:color="auto" w:fill="FFFFFF"/>
        </w:rPr>
        <w:t>Pedersen, T., &amp; Shaver, J. M. 2011. Internationalization revisited: The big step hypothesis. </w:t>
      </w:r>
      <w:r w:rsidRPr="004B5015">
        <w:rPr>
          <w:i/>
          <w:iCs/>
          <w:shd w:val="clear" w:color="auto" w:fill="FFFFFF"/>
        </w:rPr>
        <w:t>Global Strategy Journal</w:t>
      </w:r>
      <w:r w:rsidRPr="004B5015">
        <w:rPr>
          <w:shd w:val="clear" w:color="auto" w:fill="FFFFFF"/>
        </w:rPr>
        <w:t>, 1(3‐4), 263-274.</w:t>
      </w:r>
    </w:p>
    <w:p w14:paraId="6700960E" w14:textId="5ADF63FF" w:rsidR="00B925B6" w:rsidRPr="00B925B6" w:rsidRDefault="00B925B6" w:rsidP="00262481">
      <w:pPr>
        <w:ind w:left="360" w:hanging="360"/>
        <w:jc w:val="both"/>
      </w:pPr>
      <w:r>
        <w:lastRenderedPageBreak/>
        <w:t xml:space="preserve">Penrose, E. 1959. </w:t>
      </w:r>
      <w:r>
        <w:rPr>
          <w:i/>
          <w:iCs/>
        </w:rPr>
        <w:t>The theory of the growth of the firm</w:t>
      </w:r>
      <w:r>
        <w:t>. Oxford: Blackwell.</w:t>
      </w:r>
    </w:p>
    <w:p w14:paraId="2AB6E6E9" w14:textId="15EE0348" w:rsidR="00262481" w:rsidRPr="004B5015" w:rsidRDefault="00262481" w:rsidP="00262481">
      <w:pPr>
        <w:ind w:left="360" w:hanging="360"/>
        <w:jc w:val="both"/>
      </w:pPr>
      <w:r w:rsidRPr="004B5015">
        <w:t>Pisano, G. P., &amp; Teece, D. J. 2007. How to capture value from innovation: Shaping intellectual property and industry architecture. </w:t>
      </w:r>
      <w:r w:rsidRPr="004B5015">
        <w:rPr>
          <w:i/>
          <w:iCs/>
        </w:rPr>
        <w:t>California Management Review</w:t>
      </w:r>
      <w:r w:rsidRPr="004B5015">
        <w:t>, 50(1), 278-296.</w:t>
      </w:r>
    </w:p>
    <w:p w14:paraId="5050EBDD" w14:textId="0247369F" w:rsidR="00EF0C10" w:rsidRPr="004B5015" w:rsidRDefault="00EF0C10" w:rsidP="00262481">
      <w:pPr>
        <w:ind w:left="360" w:hanging="360"/>
        <w:jc w:val="both"/>
      </w:pPr>
      <w:proofErr w:type="spellStart"/>
      <w:r w:rsidRPr="004B5015">
        <w:t>Pitelis</w:t>
      </w:r>
      <w:proofErr w:type="spellEnd"/>
      <w:r w:rsidRPr="004B5015">
        <w:t>, C. N., &amp; Teece, D. J.</w:t>
      </w:r>
      <w:r w:rsidR="000E57E3">
        <w:t xml:space="preserve"> </w:t>
      </w:r>
      <w:r w:rsidRPr="004B5015">
        <w:t>2018. The new MNE: ‘Orchestration’ theory as envelope of ‘</w:t>
      </w:r>
      <w:proofErr w:type="spellStart"/>
      <w:r w:rsidRPr="004B5015">
        <w:t>Internalisation</w:t>
      </w:r>
      <w:proofErr w:type="spellEnd"/>
      <w:r w:rsidRPr="004B5015">
        <w:t xml:space="preserve">’ theory. </w:t>
      </w:r>
      <w:r w:rsidRPr="004B5015">
        <w:rPr>
          <w:i/>
          <w:iCs/>
        </w:rPr>
        <w:t>Management International Review</w:t>
      </w:r>
      <w:r w:rsidRPr="004B5015">
        <w:t xml:space="preserve">, 58(4), 523-539. </w:t>
      </w:r>
    </w:p>
    <w:p w14:paraId="55A0D6B6" w14:textId="01C6B362" w:rsidR="00262481" w:rsidRPr="004B5015" w:rsidRDefault="00262481" w:rsidP="00262481">
      <w:pPr>
        <w:ind w:left="360" w:hanging="360"/>
        <w:jc w:val="both"/>
        <w:rPr>
          <w:shd w:val="clear" w:color="auto" w:fill="FFFFFF"/>
        </w:rPr>
      </w:pPr>
      <w:r w:rsidRPr="004B5015">
        <w:rPr>
          <w:shd w:val="clear" w:color="auto" w:fill="FFFFFF"/>
        </w:rPr>
        <w:t>Reuber, A. R., &amp; Fischer, E. 2009. Signaling reputation in international online markets. </w:t>
      </w:r>
      <w:r w:rsidRPr="004B5015">
        <w:rPr>
          <w:i/>
          <w:iCs/>
          <w:shd w:val="clear" w:color="auto" w:fill="FFFFFF"/>
        </w:rPr>
        <w:t>Strategic Entrepreneurship Journal</w:t>
      </w:r>
      <w:r w:rsidRPr="004B5015">
        <w:rPr>
          <w:shd w:val="clear" w:color="auto" w:fill="FFFFFF"/>
        </w:rPr>
        <w:t xml:space="preserve">, 3(4), 369-386. </w:t>
      </w:r>
    </w:p>
    <w:p w14:paraId="54AD4C49" w14:textId="77777777" w:rsidR="003412F9" w:rsidRDefault="000B4BEF" w:rsidP="00262481">
      <w:pPr>
        <w:ind w:left="360" w:hanging="360"/>
        <w:jc w:val="both"/>
        <w:rPr>
          <w:color w:val="222222"/>
          <w:shd w:val="clear" w:color="auto" w:fill="FFFFFF"/>
        </w:rPr>
      </w:pPr>
      <w:r w:rsidRPr="004B5015">
        <w:rPr>
          <w:color w:val="222222"/>
          <w:shd w:val="clear" w:color="auto" w:fill="FFFFFF"/>
        </w:rPr>
        <w:t xml:space="preserve">Reuber, A. R., Fischer, E., &amp; Morgan-Thomas, A. 2014. Understanding </w:t>
      </w:r>
      <w:proofErr w:type="spellStart"/>
      <w:r w:rsidRPr="004B5015">
        <w:rPr>
          <w:color w:val="222222"/>
          <w:shd w:val="clear" w:color="auto" w:fill="FFFFFF"/>
        </w:rPr>
        <w:t>eINVs</w:t>
      </w:r>
      <w:proofErr w:type="spellEnd"/>
      <w:r w:rsidRPr="004B5015">
        <w:rPr>
          <w:color w:val="222222"/>
          <w:shd w:val="clear" w:color="auto" w:fill="FFFFFF"/>
        </w:rPr>
        <w:t xml:space="preserve"> through the lens of prior research in entrepreneurship, international business and international entrepreneurship. In </w:t>
      </w:r>
      <w:r w:rsidRPr="004B5015">
        <w:rPr>
          <w:i/>
          <w:iCs/>
          <w:color w:val="222222"/>
          <w:shd w:val="clear" w:color="auto" w:fill="FFFFFF"/>
        </w:rPr>
        <w:t>The Routledge companion to international entrepreneurship</w:t>
      </w:r>
      <w:r w:rsidRPr="004B5015">
        <w:rPr>
          <w:color w:val="222222"/>
          <w:shd w:val="clear" w:color="auto" w:fill="FFFFFF"/>
        </w:rPr>
        <w:t>. Routledge.</w:t>
      </w:r>
    </w:p>
    <w:p w14:paraId="19880607" w14:textId="6C092483" w:rsidR="000E57E3" w:rsidRDefault="000E57E3" w:rsidP="00262481">
      <w:pPr>
        <w:ind w:left="360" w:hanging="360"/>
        <w:jc w:val="both"/>
        <w:rPr>
          <w:shd w:val="clear" w:color="auto" w:fill="FFFFFF"/>
        </w:rPr>
      </w:pPr>
      <w:r w:rsidRPr="000E57E3">
        <w:rPr>
          <w:shd w:val="clear" w:color="auto" w:fill="FFFFFF"/>
        </w:rPr>
        <w:t xml:space="preserve">Reuber, A. R., Tippmann, E., &amp; Monaghan, S. 2021. Global scaling as a logic of </w:t>
      </w:r>
      <w:proofErr w:type="spellStart"/>
      <w:r w:rsidRPr="000E57E3">
        <w:rPr>
          <w:shd w:val="clear" w:color="auto" w:fill="FFFFFF"/>
        </w:rPr>
        <w:t>multinationalization</w:t>
      </w:r>
      <w:proofErr w:type="spellEnd"/>
      <w:r w:rsidRPr="000E57E3">
        <w:rPr>
          <w:shd w:val="clear" w:color="auto" w:fill="FFFFFF"/>
        </w:rPr>
        <w:t xml:space="preserve">. Journal of International Business Studies, 52(6), 1031-1046. </w:t>
      </w:r>
    </w:p>
    <w:p w14:paraId="58B9F099" w14:textId="14F51735" w:rsidR="00B925B6" w:rsidRDefault="00B925B6" w:rsidP="00262481">
      <w:pPr>
        <w:ind w:left="360" w:hanging="360"/>
        <w:jc w:val="both"/>
      </w:pPr>
      <w:r w:rsidRPr="00B925B6">
        <w:t xml:space="preserve">Rugman, A. M., &amp; Verbeke, A. 2003. Extending the theory of the multinational enterprise: Internalization and strategic management perspectives. </w:t>
      </w:r>
      <w:r w:rsidRPr="00B925B6">
        <w:rPr>
          <w:i/>
          <w:iCs/>
        </w:rPr>
        <w:t>Journal of International Business Studies</w:t>
      </w:r>
      <w:r w:rsidRPr="00B925B6">
        <w:t>, 34(2), 125-137.</w:t>
      </w:r>
    </w:p>
    <w:p w14:paraId="282F2B68" w14:textId="55CFAEA4" w:rsidR="00262481" w:rsidRPr="004B5015" w:rsidRDefault="00262481" w:rsidP="00262481">
      <w:pPr>
        <w:ind w:left="360" w:hanging="360"/>
        <w:jc w:val="both"/>
      </w:pPr>
      <w:r w:rsidRPr="004B5015">
        <w:t xml:space="preserve">Sacks, D. 2019. The gross margin problem: Lessons for tech-enabled startups. Accessed </w:t>
      </w:r>
      <w:r w:rsidR="000E57E3">
        <w:t>March 22</w:t>
      </w:r>
      <w:r w:rsidRPr="004B5015">
        <w:t>, 202</w:t>
      </w:r>
      <w:r w:rsidR="000E57E3">
        <w:t>2</w:t>
      </w:r>
      <w:r w:rsidRPr="004B5015">
        <w:t xml:space="preserve">. </w:t>
      </w:r>
      <w:hyperlink r:id="rId12" w:history="1">
        <w:r w:rsidRPr="004B5015">
          <w:rPr>
            <w:rStyle w:val="Hyperlink"/>
            <w:color w:val="auto"/>
            <w:u w:val="none"/>
          </w:rPr>
          <w:t>https://medium.com/craft-ventures/the-gross-margin-problem-lessons-for-tech-enabled-startups-e2aefab8a0d4</w:t>
        </w:r>
      </w:hyperlink>
    </w:p>
    <w:p w14:paraId="641F377E" w14:textId="275C58A0" w:rsidR="004F1D97" w:rsidRPr="004B5015" w:rsidRDefault="000B4BEF" w:rsidP="004F1D97">
      <w:pPr>
        <w:jc w:val="both"/>
        <w:rPr>
          <w:color w:val="000000"/>
        </w:rPr>
      </w:pPr>
      <w:r w:rsidRPr="004B5015">
        <w:rPr>
          <w:color w:val="222222"/>
          <w:shd w:val="clear" w:color="auto" w:fill="FFFFFF"/>
        </w:rPr>
        <w:t>Sapienza, H. J., Autio, E., George, G., &amp; Zahra, S. A. 2006. A capabilities perspective on the effects of early internationalization on firm survival and growth. </w:t>
      </w:r>
      <w:r w:rsidRPr="004B5015">
        <w:rPr>
          <w:i/>
          <w:iCs/>
          <w:color w:val="222222"/>
          <w:shd w:val="clear" w:color="auto" w:fill="FFFFFF"/>
        </w:rPr>
        <w:t>Academy of Management Review</w:t>
      </w:r>
      <w:r w:rsidRPr="004B5015">
        <w:rPr>
          <w:color w:val="222222"/>
          <w:shd w:val="clear" w:color="auto" w:fill="FFFFFF"/>
        </w:rPr>
        <w:t>, </w:t>
      </w:r>
      <w:r w:rsidRPr="004B5015">
        <w:rPr>
          <w:i/>
          <w:iCs/>
          <w:color w:val="222222"/>
          <w:shd w:val="clear" w:color="auto" w:fill="FFFFFF"/>
        </w:rPr>
        <w:t>31</w:t>
      </w:r>
      <w:r w:rsidRPr="004B5015">
        <w:rPr>
          <w:color w:val="222222"/>
          <w:shd w:val="clear" w:color="auto" w:fill="FFFFFF"/>
        </w:rPr>
        <w:t>(4), 914-933.</w:t>
      </w:r>
    </w:p>
    <w:p w14:paraId="211E6199" w14:textId="78521777" w:rsidR="000B4BEF" w:rsidRPr="004B5015" w:rsidRDefault="000B4BEF" w:rsidP="00262481">
      <w:pPr>
        <w:ind w:left="360" w:hanging="360"/>
        <w:jc w:val="both"/>
        <w:rPr>
          <w:color w:val="222222"/>
          <w:shd w:val="clear" w:color="auto" w:fill="FFFFFF"/>
        </w:rPr>
      </w:pPr>
      <w:r w:rsidRPr="004B5015">
        <w:rPr>
          <w:color w:val="222222"/>
          <w:shd w:val="clear" w:color="auto" w:fill="FFFFFF"/>
        </w:rPr>
        <w:t xml:space="preserve">Schmid, S., &amp; </w:t>
      </w:r>
      <w:proofErr w:type="spellStart"/>
      <w:r w:rsidRPr="004B5015">
        <w:rPr>
          <w:color w:val="222222"/>
          <w:shd w:val="clear" w:color="auto" w:fill="FFFFFF"/>
        </w:rPr>
        <w:t>Kotulla</w:t>
      </w:r>
      <w:proofErr w:type="spellEnd"/>
      <w:r w:rsidRPr="004B5015">
        <w:rPr>
          <w:color w:val="222222"/>
          <w:shd w:val="clear" w:color="auto" w:fill="FFFFFF"/>
        </w:rPr>
        <w:t>, T. 2011. 50 years of research on international standardization and adaptation—From a systematic literature analysis to a theoretical framework. </w:t>
      </w:r>
      <w:r w:rsidRPr="004B5015">
        <w:rPr>
          <w:i/>
          <w:iCs/>
          <w:color w:val="222222"/>
          <w:shd w:val="clear" w:color="auto" w:fill="FFFFFF"/>
        </w:rPr>
        <w:t>International Business Review</w:t>
      </w:r>
      <w:r w:rsidRPr="004B5015">
        <w:rPr>
          <w:color w:val="222222"/>
          <w:shd w:val="clear" w:color="auto" w:fill="FFFFFF"/>
        </w:rPr>
        <w:t>, </w:t>
      </w:r>
      <w:r w:rsidRPr="004B5015">
        <w:rPr>
          <w:i/>
          <w:iCs/>
          <w:color w:val="222222"/>
          <w:shd w:val="clear" w:color="auto" w:fill="FFFFFF"/>
        </w:rPr>
        <w:t>20</w:t>
      </w:r>
      <w:r w:rsidRPr="004B5015">
        <w:rPr>
          <w:color w:val="222222"/>
          <w:shd w:val="clear" w:color="auto" w:fill="FFFFFF"/>
        </w:rPr>
        <w:t>(5), 491-507.</w:t>
      </w:r>
    </w:p>
    <w:p w14:paraId="340F04ED" w14:textId="77777777" w:rsidR="003412F9" w:rsidRPr="003412F9" w:rsidRDefault="003412F9" w:rsidP="003412F9">
      <w:pPr>
        <w:ind w:left="360" w:hanging="360"/>
        <w:jc w:val="both"/>
        <w:rPr>
          <w:shd w:val="clear" w:color="auto" w:fill="FFFFFF"/>
        </w:rPr>
      </w:pPr>
      <w:proofErr w:type="spellStart"/>
      <w:r w:rsidRPr="003412F9">
        <w:rPr>
          <w:shd w:val="clear" w:color="auto" w:fill="FFFFFF"/>
        </w:rPr>
        <w:t>Scuotto</w:t>
      </w:r>
      <w:proofErr w:type="spellEnd"/>
      <w:r w:rsidRPr="003412F9">
        <w:rPr>
          <w:shd w:val="clear" w:color="auto" w:fill="FFFFFF"/>
        </w:rPr>
        <w:t>, V., Arrigo, E., Candelo, E., &amp; Nicotra, M. (2019). Ambidextrous innovation orientation effected by the digital transformation: A quantitative research on fashion SMEs. </w:t>
      </w:r>
      <w:r w:rsidRPr="003412F9">
        <w:rPr>
          <w:i/>
          <w:iCs/>
          <w:shd w:val="clear" w:color="auto" w:fill="FFFFFF"/>
        </w:rPr>
        <w:t>Business Process Management Journal</w:t>
      </w:r>
      <w:r w:rsidRPr="003412F9">
        <w:rPr>
          <w:shd w:val="clear" w:color="auto" w:fill="FFFFFF"/>
        </w:rPr>
        <w:t>, 26(5), 1121-1140.</w:t>
      </w:r>
    </w:p>
    <w:p w14:paraId="2CC541FF" w14:textId="2481C2E4" w:rsidR="00262481" w:rsidRPr="004B5015" w:rsidRDefault="00262481" w:rsidP="00262481">
      <w:pPr>
        <w:ind w:left="360" w:hanging="360"/>
        <w:jc w:val="both"/>
        <w:rPr>
          <w:shd w:val="clear" w:color="auto" w:fill="FFFFFF"/>
        </w:rPr>
      </w:pPr>
      <w:proofErr w:type="spellStart"/>
      <w:r w:rsidRPr="004B5015">
        <w:rPr>
          <w:shd w:val="clear" w:color="auto" w:fill="FFFFFF"/>
        </w:rPr>
        <w:t>Shaheer</w:t>
      </w:r>
      <w:proofErr w:type="spellEnd"/>
      <w:r w:rsidRPr="004B5015">
        <w:rPr>
          <w:shd w:val="clear" w:color="auto" w:fill="FFFFFF"/>
        </w:rPr>
        <w:t xml:space="preserve">, N. A. 2019. </w:t>
      </w:r>
      <w:r w:rsidRPr="004B5015">
        <w:rPr>
          <w:i/>
          <w:iCs/>
          <w:shd w:val="clear" w:color="auto" w:fill="FFFFFF"/>
        </w:rPr>
        <w:t>Reappraising International Business in a Digital Arena: Barriers, Strategies, and Context for Internationalization of Digital Innovations</w:t>
      </w:r>
      <w:r w:rsidRPr="004B5015">
        <w:rPr>
          <w:shd w:val="clear" w:color="auto" w:fill="FFFFFF"/>
        </w:rPr>
        <w:t xml:space="preserve">. Dissertation, University of South Carolina, USA. </w:t>
      </w:r>
    </w:p>
    <w:p w14:paraId="268191E7" w14:textId="77777777" w:rsidR="00262481" w:rsidRPr="004B5015" w:rsidRDefault="00262481" w:rsidP="00262481">
      <w:pPr>
        <w:snapToGrid w:val="0"/>
        <w:ind w:left="360" w:hanging="360"/>
        <w:jc w:val="both"/>
        <w:rPr>
          <w:rFonts w:eastAsiaTheme="minorEastAsia"/>
          <w:lang w:val="en-CA" w:eastAsia="zh-CN"/>
        </w:rPr>
      </w:pPr>
      <w:proofErr w:type="spellStart"/>
      <w:r w:rsidRPr="004B5015">
        <w:rPr>
          <w:rFonts w:eastAsiaTheme="minorEastAsia"/>
          <w:lang w:val="en-CA" w:eastAsia="zh-CN"/>
        </w:rPr>
        <w:t>Shaheer</w:t>
      </w:r>
      <w:proofErr w:type="spellEnd"/>
      <w:r w:rsidRPr="004B5015">
        <w:rPr>
          <w:rFonts w:eastAsiaTheme="minorEastAsia"/>
          <w:lang w:val="en-CA" w:eastAsia="zh-CN"/>
        </w:rPr>
        <w:t xml:space="preserve">, N. A., &amp; Li, S. 2020. The CAGE around cyberspace? How digital innovations internationalize in a virtual world. </w:t>
      </w:r>
      <w:r w:rsidRPr="004B5015">
        <w:rPr>
          <w:rFonts w:eastAsiaTheme="minorEastAsia"/>
          <w:i/>
          <w:lang w:val="en-CA" w:eastAsia="zh-CN"/>
        </w:rPr>
        <w:t>Journal of Business Venturing</w:t>
      </w:r>
      <w:r w:rsidRPr="004B5015">
        <w:rPr>
          <w:rFonts w:eastAsiaTheme="minorEastAsia"/>
          <w:lang w:val="en-CA" w:eastAsia="zh-CN"/>
        </w:rPr>
        <w:t xml:space="preserve">, 35(1), 1-19. </w:t>
      </w:r>
    </w:p>
    <w:p w14:paraId="53C72295" w14:textId="21DC39A8" w:rsidR="00262481" w:rsidRPr="004B5015" w:rsidRDefault="00262481" w:rsidP="00262481">
      <w:pPr>
        <w:ind w:left="360" w:hanging="360"/>
        <w:jc w:val="both"/>
        <w:rPr>
          <w:shd w:val="clear" w:color="auto" w:fill="FFFFFF"/>
        </w:rPr>
      </w:pPr>
      <w:r w:rsidRPr="004B5015">
        <w:rPr>
          <w:shd w:val="clear" w:color="auto" w:fill="FFFFFF"/>
        </w:rPr>
        <w:t xml:space="preserve">Shapiro, C., Carl, S., &amp; Varian, H. R. </w:t>
      </w:r>
      <w:r w:rsidR="00080AD1" w:rsidRPr="004B5015">
        <w:rPr>
          <w:shd w:val="clear" w:color="auto" w:fill="FFFFFF"/>
        </w:rPr>
        <w:t>1999</w:t>
      </w:r>
      <w:r w:rsidRPr="004B5015">
        <w:rPr>
          <w:shd w:val="clear" w:color="auto" w:fill="FFFFFF"/>
        </w:rPr>
        <w:t>. </w:t>
      </w:r>
      <w:r w:rsidRPr="004B5015">
        <w:rPr>
          <w:i/>
          <w:iCs/>
          <w:shd w:val="clear" w:color="auto" w:fill="FFFFFF"/>
        </w:rPr>
        <w:t xml:space="preserve">Information rules: </w:t>
      </w:r>
      <w:r w:rsidR="004E580E" w:rsidRPr="004B5015">
        <w:rPr>
          <w:i/>
          <w:iCs/>
          <w:shd w:val="clear" w:color="auto" w:fill="FFFFFF"/>
        </w:rPr>
        <w:t xml:space="preserve">A </w:t>
      </w:r>
      <w:r w:rsidRPr="004B5015">
        <w:rPr>
          <w:i/>
          <w:iCs/>
          <w:shd w:val="clear" w:color="auto" w:fill="FFFFFF"/>
        </w:rPr>
        <w:t>strategic guide to the network economy</w:t>
      </w:r>
      <w:r w:rsidRPr="004B5015">
        <w:rPr>
          <w:shd w:val="clear" w:color="auto" w:fill="FFFFFF"/>
        </w:rPr>
        <w:t>. Boston: Harvard Business School Press.</w:t>
      </w:r>
    </w:p>
    <w:p w14:paraId="305B2039" w14:textId="77777777" w:rsidR="003412F9" w:rsidRPr="003412F9" w:rsidRDefault="003412F9" w:rsidP="003412F9">
      <w:pPr>
        <w:ind w:left="360" w:hanging="360"/>
        <w:jc w:val="both"/>
        <w:rPr>
          <w:color w:val="222222"/>
          <w:shd w:val="clear" w:color="auto" w:fill="FFFFFF"/>
        </w:rPr>
      </w:pPr>
      <w:r w:rsidRPr="003412F9">
        <w:rPr>
          <w:color w:val="222222"/>
          <w:shd w:val="clear" w:color="auto" w:fill="FFFFFF"/>
        </w:rPr>
        <w:t xml:space="preserve">Shen, Q., Hua, Y., Huang, Y., </w:t>
      </w:r>
      <w:proofErr w:type="spellStart"/>
      <w:r w:rsidRPr="003412F9">
        <w:rPr>
          <w:color w:val="222222"/>
          <w:shd w:val="clear" w:color="auto" w:fill="FFFFFF"/>
        </w:rPr>
        <w:t>Ebstein</w:t>
      </w:r>
      <w:proofErr w:type="spellEnd"/>
      <w:r w:rsidRPr="003412F9">
        <w:rPr>
          <w:color w:val="222222"/>
          <w:shd w:val="clear" w:color="auto" w:fill="FFFFFF"/>
        </w:rPr>
        <w:t xml:space="preserve">, R., Yu, X. &amp; Wu, Z. (2021), Knowledge management and modern digital transformation of the property management industry in China. </w:t>
      </w:r>
      <w:r w:rsidRPr="003412F9">
        <w:rPr>
          <w:i/>
          <w:iCs/>
          <w:color w:val="222222"/>
          <w:shd w:val="clear" w:color="auto" w:fill="FFFFFF"/>
        </w:rPr>
        <w:t>Journal of Knowledge Management</w:t>
      </w:r>
      <w:r w:rsidRPr="003412F9">
        <w:rPr>
          <w:color w:val="222222"/>
          <w:shd w:val="clear" w:color="auto" w:fill="FFFFFF"/>
        </w:rPr>
        <w:t>, advance online publication.</w:t>
      </w:r>
    </w:p>
    <w:p w14:paraId="7F99C335" w14:textId="7F8E1CEB" w:rsidR="000B4BEF" w:rsidRPr="004B5015" w:rsidRDefault="000B4BEF" w:rsidP="00262481">
      <w:pPr>
        <w:ind w:left="360" w:hanging="360"/>
        <w:jc w:val="both"/>
        <w:rPr>
          <w:color w:val="222222"/>
          <w:shd w:val="clear" w:color="auto" w:fill="FFFFFF"/>
        </w:rPr>
      </w:pPr>
      <w:r w:rsidRPr="004B5015">
        <w:rPr>
          <w:color w:val="222222"/>
          <w:shd w:val="clear" w:color="auto" w:fill="FFFFFF"/>
        </w:rPr>
        <w:t>Shree, D., Singh, R. K., Paul, J., Hao, A., &amp; Xu, S. 2021. Digital platforms for business-to-business markets: A systematic review and future research agenda. </w:t>
      </w:r>
      <w:r w:rsidRPr="004B5015">
        <w:rPr>
          <w:i/>
          <w:iCs/>
          <w:color w:val="222222"/>
          <w:shd w:val="clear" w:color="auto" w:fill="FFFFFF"/>
        </w:rPr>
        <w:t>Journal of Business Research</w:t>
      </w:r>
      <w:r w:rsidRPr="004B5015">
        <w:rPr>
          <w:color w:val="222222"/>
          <w:shd w:val="clear" w:color="auto" w:fill="FFFFFF"/>
        </w:rPr>
        <w:t>, </w:t>
      </w:r>
      <w:r w:rsidRPr="004B5015">
        <w:rPr>
          <w:i/>
          <w:iCs/>
          <w:color w:val="222222"/>
          <w:shd w:val="clear" w:color="auto" w:fill="FFFFFF"/>
        </w:rPr>
        <w:t>137</w:t>
      </w:r>
      <w:r w:rsidRPr="004B5015">
        <w:rPr>
          <w:color w:val="222222"/>
          <w:shd w:val="clear" w:color="auto" w:fill="FFFFFF"/>
        </w:rPr>
        <w:t>, 354-365.</w:t>
      </w:r>
    </w:p>
    <w:p w14:paraId="2CB9D80C" w14:textId="12EE23C3" w:rsidR="00EF0C10" w:rsidRPr="004B5015" w:rsidRDefault="00EF0C10" w:rsidP="00262481">
      <w:pPr>
        <w:ind w:left="360" w:hanging="360"/>
        <w:jc w:val="both"/>
      </w:pPr>
      <w:r w:rsidRPr="004B5015">
        <w:t xml:space="preserve">Sirmon, D. G., Hitt, M. A., Ireland, R. D., &amp; Gilbert, B. A. 2011. Resource orchestration to create competitive advantage: Breadth, depth, and life cycle effects. </w:t>
      </w:r>
      <w:r w:rsidRPr="004B5015">
        <w:rPr>
          <w:i/>
          <w:iCs/>
        </w:rPr>
        <w:t>Journal of Management</w:t>
      </w:r>
      <w:r w:rsidRPr="004B5015">
        <w:t>, 37(5), 1390-1412.</w:t>
      </w:r>
    </w:p>
    <w:p w14:paraId="6E834D0D" w14:textId="0353CD89" w:rsidR="000B4BEF" w:rsidRPr="004B5015" w:rsidRDefault="000B4BEF" w:rsidP="00262481">
      <w:pPr>
        <w:ind w:left="360" w:hanging="360"/>
        <w:jc w:val="both"/>
        <w:rPr>
          <w:color w:val="222222"/>
          <w:shd w:val="clear" w:color="auto" w:fill="FFFFFF"/>
        </w:rPr>
      </w:pPr>
      <w:proofErr w:type="spellStart"/>
      <w:r w:rsidRPr="004B5015">
        <w:rPr>
          <w:color w:val="222222"/>
          <w:shd w:val="clear" w:color="auto" w:fill="FFFFFF"/>
        </w:rPr>
        <w:t>Sraha</w:t>
      </w:r>
      <w:proofErr w:type="spellEnd"/>
      <w:r w:rsidRPr="004B5015">
        <w:rPr>
          <w:color w:val="222222"/>
          <w:shd w:val="clear" w:color="auto" w:fill="FFFFFF"/>
        </w:rPr>
        <w:t>, G., Sharma, R. R., Crick, D., &amp; Crick, J. M. 2020. International experience, commitment, distribution adaptation and performance: a study of Ghanaian firms in B2B export markets. </w:t>
      </w:r>
      <w:r w:rsidRPr="004B5015">
        <w:rPr>
          <w:i/>
          <w:iCs/>
          <w:color w:val="222222"/>
          <w:shd w:val="clear" w:color="auto" w:fill="FFFFFF"/>
        </w:rPr>
        <w:t>Journal of Business &amp; Industrial Marketing</w:t>
      </w:r>
      <w:r w:rsidR="000E57E3">
        <w:rPr>
          <w:color w:val="222222"/>
          <w:shd w:val="clear" w:color="auto" w:fill="FFFFFF"/>
        </w:rPr>
        <w:t>, 35(11), 1715-1738.</w:t>
      </w:r>
    </w:p>
    <w:p w14:paraId="1C66D158" w14:textId="60671AFD" w:rsidR="00517B81" w:rsidRPr="004B5015" w:rsidRDefault="00517B81" w:rsidP="00262481">
      <w:pPr>
        <w:ind w:left="360" w:hanging="360"/>
        <w:jc w:val="both"/>
      </w:pPr>
      <w:r w:rsidRPr="004B5015">
        <w:lastRenderedPageBreak/>
        <w:t xml:space="preserve">Stallkamp, M. 2018. </w:t>
      </w:r>
      <w:r w:rsidRPr="004B5015">
        <w:rPr>
          <w:i/>
          <w:iCs/>
        </w:rPr>
        <w:t xml:space="preserve">Subnational, regional, digital: Contemporary perspectives on the internationalization of firms. </w:t>
      </w:r>
      <w:r w:rsidRPr="004B5015">
        <w:t>Dissertation, Western University, Canada.</w:t>
      </w:r>
    </w:p>
    <w:p w14:paraId="4AA30A5B" w14:textId="1F512A15" w:rsidR="00080AD1" w:rsidRPr="004B5015" w:rsidRDefault="00080AD1" w:rsidP="00262481">
      <w:pPr>
        <w:ind w:left="360" w:hanging="360"/>
        <w:jc w:val="both"/>
      </w:pPr>
      <w:r w:rsidRPr="004B5015">
        <w:t xml:space="preserve">Stallkamp, M. 2021. After TikTok: International business and the splinternet. </w:t>
      </w:r>
      <w:r w:rsidRPr="004B5015">
        <w:rPr>
          <w:i/>
          <w:iCs/>
        </w:rPr>
        <w:t>AIB Insights</w:t>
      </w:r>
      <w:r w:rsidR="000E57E3">
        <w:t>, 21(2).</w:t>
      </w:r>
      <w:r w:rsidRPr="004B5015">
        <w:t xml:space="preserve"> https://doi.org/10.46697/001c.21943</w:t>
      </w:r>
    </w:p>
    <w:p w14:paraId="0EBAF962" w14:textId="5ED19C14" w:rsidR="00262481" w:rsidRPr="004B5015" w:rsidRDefault="00262481" w:rsidP="00262481">
      <w:pPr>
        <w:ind w:left="360" w:hanging="360"/>
        <w:jc w:val="both"/>
      </w:pPr>
      <w:r w:rsidRPr="004B5015">
        <w:t xml:space="preserve">Stallkamp, M., &amp; Schotter, A. P. </w:t>
      </w:r>
      <w:r w:rsidR="00AF6312" w:rsidRPr="004B5015">
        <w:t>2021</w:t>
      </w:r>
      <w:r w:rsidRPr="004B5015">
        <w:t>. Platforms without borders? The international strategies of digital platform firms. </w:t>
      </w:r>
      <w:r w:rsidRPr="004B5015">
        <w:rPr>
          <w:i/>
          <w:iCs/>
        </w:rPr>
        <w:t>Global Strategy Journal</w:t>
      </w:r>
      <w:r w:rsidR="00AF6312" w:rsidRPr="004B5015">
        <w:rPr>
          <w:i/>
          <w:iCs/>
        </w:rPr>
        <w:t xml:space="preserve">, </w:t>
      </w:r>
      <w:r w:rsidR="00AF6312" w:rsidRPr="004B5015">
        <w:t>11(1): 58-80</w:t>
      </w:r>
    </w:p>
    <w:p w14:paraId="35FDE052" w14:textId="77777777" w:rsidR="00262481" w:rsidRPr="004B5015" w:rsidRDefault="00262481" w:rsidP="00262481">
      <w:pPr>
        <w:ind w:left="360" w:hanging="360"/>
        <w:jc w:val="both"/>
      </w:pPr>
      <w:r w:rsidRPr="004B5015">
        <w:t xml:space="preserve">Stone, R. 2017. </w:t>
      </w:r>
      <w:r w:rsidRPr="004B5015">
        <w:rPr>
          <w:i/>
          <w:iCs/>
        </w:rPr>
        <w:t xml:space="preserve">The Upstarts: How Uber, Airbnb, and the Killer Companies of the New Silicon Valley Are Changing the World. </w:t>
      </w:r>
      <w:r w:rsidRPr="004B5015">
        <w:t>New York: Little, Brown and Company.</w:t>
      </w:r>
    </w:p>
    <w:p w14:paraId="1F69279E" w14:textId="04A06948" w:rsidR="000B4BEF" w:rsidRPr="004B5015" w:rsidRDefault="000B4BEF" w:rsidP="00262481">
      <w:pPr>
        <w:ind w:left="360" w:hanging="360"/>
        <w:jc w:val="both"/>
        <w:rPr>
          <w:color w:val="222222"/>
          <w:shd w:val="clear" w:color="auto" w:fill="FFFFFF"/>
        </w:rPr>
      </w:pPr>
      <w:r w:rsidRPr="004B5015">
        <w:rPr>
          <w:color w:val="222222"/>
          <w:shd w:val="clear" w:color="auto" w:fill="FFFFFF"/>
        </w:rPr>
        <w:t>Teece, D. J. 1982. Towards an economic theory of the multiproduct firm. </w:t>
      </w:r>
      <w:r w:rsidRPr="004B5015">
        <w:rPr>
          <w:i/>
          <w:iCs/>
          <w:color w:val="222222"/>
          <w:shd w:val="clear" w:color="auto" w:fill="FFFFFF"/>
        </w:rPr>
        <w:t>Journal of Economic Behavior &amp; Organization</w:t>
      </w:r>
      <w:r w:rsidRPr="004B5015">
        <w:rPr>
          <w:color w:val="222222"/>
          <w:shd w:val="clear" w:color="auto" w:fill="FFFFFF"/>
        </w:rPr>
        <w:t>, </w:t>
      </w:r>
      <w:r w:rsidRPr="004B5015">
        <w:rPr>
          <w:i/>
          <w:iCs/>
          <w:color w:val="222222"/>
          <w:shd w:val="clear" w:color="auto" w:fill="FFFFFF"/>
        </w:rPr>
        <w:t>3</w:t>
      </w:r>
      <w:r w:rsidRPr="004B5015">
        <w:rPr>
          <w:color w:val="222222"/>
          <w:shd w:val="clear" w:color="auto" w:fill="FFFFFF"/>
        </w:rPr>
        <w:t>(1), 39-63.</w:t>
      </w:r>
    </w:p>
    <w:p w14:paraId="1FD7788D" w14:textId="12C3C1CC" w:rsidR="00262481" w:rsidRPr="004B5015" w:rsidRDefault="00262481" w:rsidP="00262481">
      <w:pPr>
        <w:ind w:left="360" w:hanging="360"/>
        <w:jc w:val="both"/>
      </w:pPr>
      <w:r w:rsidRPr="004B5015">
        <w:t>Teece, D.</w:t>
      </w:r>
      <w:r w:rsidR="000B4BEF" w:rsidRPr="004B5015">
        <w:t xml:space="preserve"> J.</w:t>
      </w:r>
      <w:r w:rsidRPr="004B5015">
        <w:t xml:space="preserve"> 1986. Profiting from technological innovation: Implications for integration, collaboration, licensing and public policy. </w:t>
      </w:r>
      <w:r w:rsidRPr="004B5015">
        <w:rPr>
          <w:i/>
          <w:iCs/>
        </w:rPr>
        <w:t xml:space="preserve">Research Policy, </w:t>
      </w:r>
      <w:r w:rsidRPr="004B5015">
        <w:t>15(6), 285-305.</w:t>
      </w:r>
    </w:p>
    <w:p w14:paraId="28CE01F5" w14:textId="69471E65" w:rsidR="000B4BEF" w:rsidRPr="004B5015" w:rsidRDefault="000B4BEF" w:rsidP="00262481">
      <w:pPr>
        <w:ind w:left="360" w:hanging="360"/>
        <w:jc w:val="both"/>
        <w:rPr>
          <w:color w:val="222222"/>
          <w:shd w:val="clear" w:color="auto" w:fill="FFFFFF"/>
        </w:rPr>
      </w:pPr>
      <w:r w:rsidRPr="004B5015">
        <w:rPr>
          <w:color w:val="222222"/>
          <w:shd w:val="clear" w:color="auto" w:fill="FFFFFF"/>
        </w:rPr>
        <w:t>Teece, D. J. 2014. The foundations of enterprise performance: Dynamic and ordinary capabilities in an (economic) theory of firms. </w:t>
      </w:r>
      <w:r w:rsidRPr="004B5015">
        <w:rPr>
          <w:i/>
          <w:iCs/>
          <w:color w:val="222222"/>
          <w:shd w:val="clear" w:color="auto" w:fill="FFFFFF"/>
        </w:rPr>
        <w:t>Academy of Management Perspectives</w:t>
      </w:r>
      <w:r w:rsidRPr="004B5015">
        <w:rPr>
          <w:color w:val="222222"/>
          <w:shd w:val="clear" w:color="auto" w:fill="FFFFFF"/>
        </w:rPr>
        <w:t>, </w:t>
      </w:r>
      <w:r w:rsidRPr="004B5015">
        <w:rPr>
          <w:i/>
          <w:iCs/>
          <w:color w:val="222222"/>
          <w:shd w:val="clear" w:color="auto" w:fill="FFFFFF"/>
        </w:rPr>
        <w:t>28</w:t>
      </w:r>
      <w:r w:rsidRPr="004B5015">
        <w:rPr>
          <w:color w:val="222222"/>
          <w:shd w:val="clear" w:color="auto" w:fill="FFFFFF"/>
        </w:rPr>
        <w:t>(4), 328-352.</w:t>
      </w:r>
    </w:p>
    <w:p w14:paraId="1C1E4D9E" w14:textId="341FC924" w:rsidR="00262481" w:rsidRPr="004B5015" w:rsidRDefault="00262481" w:rsidP="00262481">
      <w:pPr>
        <w:ind w:left="360" w:hanging="360"/>
        <w:jc w:val="both"/>
      </w:pPr>
      <w:r w:rsidRPr="004B5015">
        <w:t>Teece, D.</w:t>
      </w:r>
      <w:r w:rsidR="000B4BEF" w:rsidRPr="004B5015">
        <w:t xml:space="preserve"> J.</w:t>
      </w:r>
      <w:r w:rsidRPr="004B5015">
        <w:t xml:space="preserve"> 2018. Business models and dynamic capabilities. </w:t>
      </w:r>
      <w:r w:rsidRPr="004B5015">
        <w:rPr>
          <w:i/>
          <w:iCs/>
        </w:rPr>
        <w:t>Long Range Planning</w:t>
      </w:r>
      <w:r w:rsidRPr="004B5015">
        <w:t>, 51(1), 40-49.</w:t>
      </w:r>
    </w:p>
    <w:p w14:paraId="4A3EC398" w14:textId="327226F9" w:rsidR="000C3B88" w:rsidRPr="004B5015" w:rsidRDefault="000C3B88" w:rsidP="00262481">
      <w:pPr>
        <w:snapToGrid w:val="0"/>
        <w:ind w:left="360" w:hanging="360"/>
        <w:jc w:val="both"/>
        <w:rPr>
          <w:shd w:val="clear" w:color="auto" w:fill="FFFFFF"/>
        </w:rPr>
      </w:pPr>
      <w:r w:rsidRPr="004B5015">
        <w:rPr>
          <w:shd w:val="clear" w:color="auto" w:fill="FFFFFF"/>
        </w:rPr>
        <w:t>Teece</w:t>
      </w:r>
      <w:r w:rsidR="000B4BEF" w:rsidRPr="004B5015">
        <w:rPr>
          <w:shd w:val="clear" w:color="auto" w:fill="FFFFFF"/>
        </w:rPr>
        <w:t>, D. J.</w:t>
      </w:r>
      <w:r w:rsidRPr="004B5015">
        <w:rPr>
          <w:shd w:val="clear" w:color="auto" w:fill="FFFFFF"/>
        </w:rPr>
        <w:t xml:space="preserve"> &amp; </w:t>
      </w:r>
      <w:proofErr w:type="spellStart"/>
      <w:r w:rsidRPr="004B5015">
        <w:rPr>
          <w:shd w:val="clear" w:color="auto" w:fill="FFFFFF"/>
        </w:rPr>
        <w:t>Petricevic</w:t>
      </w:r>
      <w:proofErr w:type="spellEnd"/>
      <w:r w:rsidRPr="004B5015">
        <w:rPr>
          <w:shd w:val="clear" w:color="auto" w:fill="FFFFFF"/>
        </w:rPr>
        <w:t>,</w:t>
      </w:r>
      <w:r w:rsidR="000B4BEF" w:rsidRPr="004B5015">
        <w:rPr>
          <w:shd w:val="clear" w:color="auto" w:fill="FFFFFF"/>
        </w:rPr>
        <w:t xml:space="preserve"> O.</w:t>
      </w:r>
      <w:r w:rsidRPr="004B5015">
        <w:rPr>
          <w:shd w:val="clear" w:color="auto" w:fill="FFFFFF"/>
        </w:rPr>
        <w:t xml:space="preserve"> 2021</w:t>
      </w:r>
      <w:r w:rsidR="006E6E46" w:rsidRPr="004B5015">
        <w:rPr>
          <w:shd w:val="clear" w:color="auto" w:fill="FFFFFF"/>
        </w:rPr>
        <w:t xml:space="preserve">. Capability-based theories of multinational enterprise growth. In </w:t>
      </w:r>
      <w:r w:rsidR="006E6E46" w:rsidRPr="004B5015">
        <w:rPr>
          <w:i/>
          <w:iCs/>
          <w:shd w:val="clear" w:color="auto" w:fill="FFFFFF"/>
        </w:rPr>
        <w:t>The Oxford Handbook of International Business Strategy.</w:t>
      </w:r>
    </w:p>
    <w:p w14:paraId="1C2D6097" w14:textId="3A5AD8DF" w:rsidR="00262481" w:rsidRPr="004B5015" w:rsidRDefault="00262481" w:rsidP="00262481">
      <w:pPr>
        <w:snapToGrid w:val="0"/>
        <w:ind w:left="360" w:hanging="360"/>
        <w:jc w:val="both"/>
        <w:rPr>
          <w:shd w:val="clear" w:color="auto" w:fill="FFFFFF"/>
        </w:rPr>
      </w:pPr>
      <w:proofErr w:type="spellStart"/>
      <w:r w:rsidRPr="004B5015">
        <w:rPr>
          <w:shd w:val="clear" w:color="auto" w:fill="FFFFFF"/>
        </w:rPr>
        <w:t>Vadana</w:t>
      </w:r>
      <w:proofErr w:type="spellEnd"/>
      <w:r w:rsidRPr="004B5015">
        <w:rPr>
          <w:shd w:val="clear" w:color="auto" w:fill="FFFFFF"/>
        </w:rPr>
        <w:t xml:space="preserve">, I., </w:t>
      </w:r>
      <w:proofErr w:type="spellStart"/>
      <w:r w:rsidRPr="004B5015">
        <w:rPr>
          <w:shd w:val="clear" w:color="auto" w:fill="FFFFFF"/>
        </w:rPr>
        <w:t>Torkkeli</w:t>
      </w:r>
      <w:proofErr w:type="spellEnd"/>
      <w:r w:rsidRPr="004B5015">
        <w:rPr>
          <w:shd w:val="clear" w:color="auto" w:fill="FFFFFF"/>
        </w:rPr>
        <w:t xml:space="preserve">, L., Kuivalainen, O., &amp; </w:t>
      </w:r>
      <w:proofErr w:type="spellStart"/>
      <w:r w:rsidRPr="004B5015">
        <w:rPr>
          <w:shd w:val="clear" w:color="auto" w:fill="FFFFFF"/>
        </w:rPr>
        <w:t>Saarenketo</w:t>
      </w:r>
      <w:proofErr w:type="spellEnd"/>
      <w:r w:rsidRPr="004B5015">
        <w:rPr>
          <w:shd w:val="clear" w:color="auto" w:fill="FFFFFF"/>
        </w:rPr>
        <w:t xml:space="preserve">, S. 2019. Digitalization of companies in international entrepreneurship and marketing. </w:t>
      </w:r>
      <w:r w:rsidRPr="004B5015">
        <w:rPr>
          <w:i/>
          <w:iCs/>
          <w:shd w:val="clear" w:color="auto" w:fill="FFFFFF"/>
        </w:rPr>
        <w:t>International Marketing Review.</w:t>
      </w:r>
      <w:r w:rsidRPr="004B5015">
        <w:rPr>
          <w:shd w:val="clear" w:color="auto" w:fill="FFFFFF"/>
        </w:rPr>
        <w:t>37(3), 471-492.</w:t>
      </w:r>
    </w:p>
    <w:p w14:paraId="4BE00527" w14:textId="23238837" w:rsidR="00EF0C10" w:rsidRPr="004B5015" w:rsidRDefault="00EF0C10" w:rsidP="00262481">
      <w:pPr>
        <w:ind w:left="360" w:hanging="360"/>
        <w:jc w:val="both"/>
      </w:pPr>
      <w:r w:rsidRPr="004B5015">
        <w:t xml:space="preserve">Verbeke, A., &amp; Kano, L. 2016. An internalization theory perspective on the global and regional strategies of multinational enterprises. </w:t>
      </w:r>
      <w:r w:rsidRPr="004B5015">
        <w:rPr>
          <w:i/>
          <w:iCs/>
        </w:rPr>
        <w:t>Journal of World Business</w:t>
      </w:r>
      <w:r w:rsidRPr="004B5015">
        <w:t xml:space="preserve">, 51(1), 83-92. </w:t>
      </w:r>
    </w:p>
    <w:p w14:paraId="37B36C2D" w14:textId="399651C0" w:rsidR="006E6E46" w:rsidRPr="004B5015" w:rsidRDefault="006E6E46" w:rsidP="00262481">
      <w:pPr>
        <w:ind w:left="360" w:hanging="360"/>
        <w:jc w:val="both"/>
        <w:rPr>
          <w:color w:val="222222"/>
          <w:shd w:val="clear" w:color="auto" w:fill="FFFFFF"/>
        </w:rPr>
      </w:pPr>
      <w:r w:rsidRPr="004B5015">
        <w:rPr>
          <w:color w:val="222222"/>
          <w:shd w:val="clear" w:color="auto" w:fill="FFFFFF"/>
        </w:rPr>
        <w:t xml:space="preserve">Verbeke, A., &amp; </w:t>
      </w:r>
      <w:proofErr w:type="spellStart"/>
      <w:r w:rsidRPr="004B5015">
        <w:rPr>
          <w:color w:val="222222"/>
          <w:shd w:val="clear" w:color="auto" w:fill="FFFFFF"/>
        </w:rPr>
        <w:t>Hutzschenreuter</w:t>
      </w:r>
      <w:proofErr w:type="spellEnd"/>
      <w:r w:rsidRPr="004B5015">
        <w:rPr>
          <w:color w:val="222222"/>
          <w:shd w:val="clear" w:color="auto" w:fill="FFFFFF"/>
        </w:rPr>
        <w:t>, T. 2021. The dark side of digital globalization. </w:t>
      </w:r>
      <w:r w:rsidRPr="004B5015">
        <w:rPr>
          <w:i/>
          <w:iCs/>
          <w:color w:val="222222"/>
          <w:shd w:val="clear" w:color="auto" w:fill="FFFFFF"/>
        </w:rPr>
        <w:t>Academy of Management Perspectives</w:t>
      </w:r>
      <w:r w:rsidRPr="004B5015">
        <w:rPr>
          <w:color w:val="222222"/>
          <w:shd w:val="clear" w:color="auto" w:fill="FFFFFF"/>
        </w:rPr>
        <w:t>, </w:t>
      </w:r>
      <w:r w:rsidRPr="004B5015">
        <w:rPr>
          <w:i/>
          <w:iCs/>
          <w:color w:val="222222"/>
          <w:shd w:val="clear" w:color="auto" w:fill="FFFFFF"/>
        </w:rPr>
        <w:t>35</w:t>
      </w:r>
      <w:r w:rsidRPr="004B5015">
        <w:rPr>
          <w:color w:val="222222"/>
          <w:shd w:val="clear" w:color="auto" w:fill="FFFFFF"/>
        </w:rPr>
        <w:t>(4), 606-621.</w:t>
      </w:r>
    </w:p>
    <w:p w14:paraId="7A0EF83D" w14:textId="7D965BCD" w:rsidR="006E6E46" w:rsidRPr="004B5015" w:rsidRDefault="006E6E46" w:rsidP="00262481">
      <w:pPr>
        <w:ind w:left="360" w:hanging="360"/>
        <w:jc w:val="both"/>
      </w:pPr>
      <w:r w:rsidRPr="004B5015">
        <w:t>Verbeke, A., Coeurderoy, R., &amp; Matt, T. 2018. The future of international business research on corporate globalization that never was…. Journal of International Business Studies, 49, 1101-1112.</w:t>
      </w:r>
    </w:p>
    <w:p w14:paraId="77AA92BC" w14:textId="4F11D46B" w:rsidR="00262481" w:rsidRPr="004B5015" w:rsidRDefault="00262481" w:rsidP="00262481">
      <w:pPr>
        <w:ind w:left="360" w:hanging="360"/>
        <w:jc w:val="both"/>
      </w:pPr>
      <w:proofErr w:type="spellStart"/>
      <w:r w:rsidRPr="004B5015">
        <w:t>Wentrup</w:t>
      </w:r>
      <w:proofErr w:type="spellEnd"/>
      <w:r w:rsidRPr="004B5015">
        <w:t xml:space="preserve">, R. 2016. The online-offline balance: Internationalization for Swedish online service providers. </w:t>
      </w:r>
      <w:r w:rsidRPr="004B5015">
        <w:rPr>
          <w:i/>
          <w:iCs/>
        </w:rPr>
        <w:t>Journal of International Entrepreneurship</w:t>
      </w:r>
      <w:r w:rsidRPr="004B5015">
        <w:t>, 14(4), 562-594.</w:t>
      </w:r>
    </w:p>
    <w:p w14:paraId="34EA3339" w14:textId="5A5A31D1" w:rsidR="006E6E46" w:rsidRPr="004B5015" w:rsidRDefault="006E6E46" w:rsidP="00F2003B">
      <w:pPr>
        <w:snapToGrid w:val="0"/>
        <w:ind w:left="360" w:hanging="360"/>
        <w:jc w:val="both"/>
        <w:rPr>
          <w:color w:val="222222"/>
          <w:shd w:val="clear" w:color="auto" w:fill="FFFFFF"/>
        </w:rPr>
      </w:pPr>
      <w:r w:rsidRPr="004B5015">
        <w:rPr>
          <w:color w:val="222222"/>
          <w:shd w:val="clear" w:color="auto" w:fill="FFFFFF"/>
        </w:rPr>
        <w:t>Wernerfelt, B. 1984. A resource‐based view of the firm. </w:t>
      </w:r>
      <w:r w:rsidRPr="004B5015">
        <w:rPr>
          <w:i/>
          <w:iCs/>
          <w:color w:val="222222"/>
          <w:shd w:val="clear" w:color="auto" w:fill="FFFFFF"/>
        </w:rPr>
        <w:t>Strategic Management Journal</w:t>
      </w:r>
      <w:r w:rsidRPr="004B5015">
        <w:rPr>
          <w:color w:val="222222"/>
          <w:shd w:val="clear" w:color="auto" w:fill="FFFFFF"/>
        </w:rPr>
        <w:t>, </w:t>
      </w:r>
      <w:r w:rsidRPr="004B5015">
        <w:rPr>
          <w:i/>
          <w:iCs/>
          <w:color w:val="222222"/>
          <w:shd w:val="clear" w:color="auto" w:fill="FFFFFF"/>
        </w:rPr>
        <w:t>5</w:t>
      </w:r>
      <w:r w:rsidRPr="004B5015">
        <w:rPr>
          <w:color w:val="222222"/>
          <w:shd w:val="clear" w:color="auto" w:fill="FFFFFF"/>
        </w:rPr>
        <w:t>(2), 171-180.</w:t>
      </w:r>
    </w:p>
    <w:p w14:paraId="0B131286" w14:textId="49B1612F" w:rsidR="00F2003B" w:rsidRPr="004B5015" w:rsidRDefault="00F2003B" w:rsidP="00F2003B">
      <w:pPr>
        <w:snapToGrid w:val="0"/>
        <w:ind w:left="360" w:hanging="360"/>
        <w:jc w:val="both"/>
        <w:rPr>
          <w:shd w:val="clear" w:color="auto" w:fill="FFFFFF"/>
        </w:rPr>
      </w:pPr>
      <w:r w:rsidRPr="004B5015">
        <w:rPr>
          <w:shd w:val="clear" w:color="auto" w:fill="FFFFFF"/>
        </w:rPr>
        <w:t>Westerlund, M. 2020. Digitalization, internationalization and scaling of online SMEs. </w:t>
      </w:r>
      <w:r w:rsidRPr="004B5015">
        <w:rPr>
          <w:i/>
          <w:iCs/>
          <w:shd w:val="clear" w:color="auto" w:fill="FFFFFF"/>
        </w:rPr>
        <w:t>Technology Innovation Management Review</w:t>
      </w:r>
      <w:r w:rsidRPr="004B5015">
        <w:rPr>
          <w:shd w:val="clear" w:color="auto" w:fill="FFFFFF"/>
        </w:rPr>
        <w:t>, </w:t>
      </w:r>
      <w:r w:rsidRPr="004B5015">
        <w:rPr>
          <w:i/>
          <w:iCs/>
          <w:shd w:val="clear" w:color="auto" w:fill="FFFFFF"/>
        </w:rPr>
        <w:t>10</w:t>
      </w:r>
      <w:r w:rsidRPr="004B5015">
        <w:rPr>
          <w:shd w:val="clear" w:color="auto" w:fill="FFFFFF"/>
        </w:rPr>
        <w:t>(4).</w:t>
      </w:r>
    </w:p>
    <w:p w14:paraId="77AC9DB1" w14:textId="5E23E37D" w:rsidR="00EA7E99" w:rsidRDefault="00EA7E99" w:rsidP="00262481">
      <w:pPr>
        <w:snapToGrid w:val="0"/>
        <w:ind w:left="360" w:hanging="360"/>
        <w:jc w:val="both"/>
        <w:rPr>
          <w:shd w:val="clear" w:color="auto" w:fill="FFFFFF"/>
        </w:rPr>
      </w:pPr>
      <w:r w:rsidRPr="00EA7E99">
        <w:rPr>
          <w:shd w:val="clear" w:color="auto" w:fill="FFFFFF"/>
        </w:rPr>
        <w:t xml:space="preserve">Winter, S. G., &amp; </w:t>
      </w:r>
      <w:proofErr w:type="spellStart"/>
      <w:r w:rsidRPr="00EA7E99">
        <w:rPr>
          <w:shd w:val="clear" w:color="auto" w:fill="FFFFFF"/>
        </w:rPr>
        <w:t>Szulanski</w:t>
      </w:r>
      <w:proofErr w:type="spellEnd"/>
      <w:r w:rsidRPr="00EA7E99">
        <w:rPr>
          <w:shd w:val="clear" w:color="auto" w:fill="FFFFFF"/>
        </w:rPr>
        <w:t xml:space="preserve">, G. 2001. Replication as strategy. </w:t>
      </w:r>
      <w:r w:rsidRPr="000E57E3">
        <w:rPr>
          <w:i/>
          <w:iCs/>
          <w:shd w:val="clear" w:color="auto" w:fill="FFFFFF"/>
        </w:rPr>
        <w:t>Organization Science</w:t>
      </w:r>
      <w:r w:rsidRPr="00EA7E99">
        <w:rPr>
          <w:shd w:val="clear" w:color="auto" w:fill="FFFFFF"/>
        </w:rPr>
        <w:t>, 12(6), 730-743.</w:t>
      </w:r>
    </w:p>
    <w:p w14:paraId="54BE8892" w14:textId="3F4FE90E" w:rsidR="00262481" w:rsidRPr="004B5015" w:rsidRDefault="00262481" w:rsidP="00262481">
      <w:pPr>
        <w:snapToGrid w:val="0"/>
        <w:ind w:left="360" w:hanging="360"/>
        <w:jc w:val="both"/>
        <w:rPr>
          <w:rFonts w:eastAsiaTheme="minorEastAsia"/>
          <w:lang w:val="en-CA" w:eastAsia="zh-CN"/>
        </w:rPr>
      </w:pPr>
      <w:r w:rsidRPr="004B5015">
        <w:rPr>
          <w:shd w:val="clear" w:color="auto" w:fill="FFFFFF"/>
        </w:rPr>
        <w:t xml:space="preserve">Wulff, J., &amp; </w:t>
      </w:r>
      <w:proofErr w:type="spellStart"/>
      <w:r w:rsidRPr="004B5015">
        <w:rPr>
          <w:shd w:val="clear" w:color="auto" w:fill="FFFFFF"/>
        </w:rPr>
        <w:t>Villadsen</w:t>
      </w:r>
      <w:proofErr w:type="spellEnd"/>
      <w:r w:rsidRPr="004B5015">
        <w:rPr>
          <w:shd w:val="clear" w:color="auto" w:fill="FFFFFF"/>
        </w:rPr>
        <w:t>, A. 2020. Keeping it within bounds: Regression analysis of proportions in international business. </w:t>
      </w:r>
      <w:r w:rsidRPr="004B5015">
        <w:rPr>
          <w:i/>
          <w:iCs/>
          <w:shd w:val="clear" w:color="auto" w:fill="FFFFFF"/>
        </w:rPr>
        <w:t>Journal of International Business Studies</w:t>
      </w:r>
      <w:r w:rsidRPr="004B5015">
        <w:rPr>
          <w:shd w:val="clear" w:color="auto" w:fill="FFFFFF"/>
        </w:rPr>
        <w:t>, 51(2), 244-262.</w:t>
      </w:r>
    </w:p>
    <w:p w14:paraId="4B96B5D5" w14:textId="77777777" w:rsidR="00262481" w:rsidRPr="004B5015" w:rsidRDefault="00262481" w:rsidP="00262481">
      <w:pPr>
        <w:ind w:left="360" w:hanging="360"/>
        <w:jc w:val="both"/>
      </w:pPr>
      <w:r w:rsidRPr="004B5015">
        <w:t xml:space="preserve">Yan, J., Williams, D., &amp; Hunt, R. 2020. Leveraging the unknown: A real options reasoning perspective on the role of uncertainty in entrepreneurs’ internationalization decision making.  </w:t>
      </w:r>
      <w:r w:rsidRPr="004B5015">
        <w:rPr>
          <w:i/>
        </w:rPr>
        <w:t>Academy of Management Global Proceedings</w:t>
      </w:r>
      <w:r w:rsidRPr="004B5015">
        <w:t>.</w:t>
      </w:r>
    </w:p>
    <w:p w14:paraId="45DF9749" w14:textId="77777777" w:rsidR="00262481" w:rsidRPr="004B5015" w:rsidRDefault="00262481" w:rsidP="00262481">
      <w:pPr>
        <w:ind w:left="360" w:hanging="360"/>
        <w:jc w:val="both"/>
        <w:rPr>
          <w:shd w:val="clear" w:color="auto" w:fill="FFFFFF"/>
        </w:rPr>
      </w:pPr>
      <w:r w:rsidRPr="004B5015">
        <w:rPr>
          <w:shd w:val="clear" w:color="auto" w:fill="FFFFFF"/>
        </w:rPr>
        <w:t>Zaheer, S. 1995. Overcoming the liability of foreignness. </w:t>
      </w:r>
      <w:r w:rsidRPr="004B5015">
        <w:rPr>
          <w:i/>
          <w:iCs/>
          <w:shd w:val="clear" w:color="auto" w:fill="FFFFFF"/>
        </w:rPr>
        <w:t>Academy of Management Journal</w:t>
      </w:r>
      <w:r w:rsidRPr="004B5015">
        <w:rPr>
          <w:shd w:val="clear" w:color="auto" w:fill="FFFFFF"/>
        </w:rPr>
        <w:t>, 38(2), 341-363.</w:t>
      </w:r>
    </w:p>
    <w:p w14:paraId="2DBBA536" w14:textId="3FB008C0" w:rsidR="00262481" w:rsidRPr="004B5015" w:rsidRDefault="00262481" w:rsidP="00262481">
      <w:pPr>
        <w:ind w:left="360" w:hanging="360"/>
        <w:jc w:val="both"/>
        <w:rPr>
          <w:shd w:val="clear" w:color="auto" w:fill="FFFFFF"/>
        </w:rPr>
      </w:pPr>
      <w:r w:rsidRPr="004B5015">
        <w:rPr>
          <w:shd w:val="clear" w:color="auto" w:fill="FFFFFF"/>
        </w:rPr>
        <w:t>Zahra, S. A., Ireland, R. D., &amp; Hitt, M. A. 2000. International expansion by new venture firms: International diversity, mode of market entry, technological learning, and performance. </w:t>
      </w:r>
      <w:r w:rsidRPr="004B5015">
        <w:rPr>
          <w:i/>
          <w:iCs/>
          <w:shd w:val="clear" w:color="auto" w:fill="FFFFFF"/>
        </w:rPr>
        <w:t>Academy of Management Journal</w:t>
      </w:r>
      <w:r w:rsidRPr="004B5015">
        <w:rPr>
          <w:shd w:val="clear" w:color="auto" w:fill="FFFFFF"/>
        </w:rPr>
        <w:t>, 43(5), 925-950.</w:t>
      </w:r>
    </w:p>
    <w:p w14:paraId="12BDCC5B" w14:textId="4793A814" w:rsidR="00262481" w:rsidRPr="004B5015" w:rsidRDefault="00262481" w:rsidP="00262481">
      <w:pPr>
        <w:ind w:left="360" w:hanging="360"/>
        <w:jc w:val="both"/>
      </w:pPr>
      <w:r w:rsidRPr="004B5015">
        <w:t xml:space="preserve">Zhang, X., </w:t>
      </w:r>
      <w:proofErr w:type="spellStart"/>
      <w:r w:rsidRPr="004B5015">
        <w:t>Xie</w:t>
      </w:r>
      <w:proofErr w:type="spellEnd"/>
      <w:r w:rsidRPr="004B5015">
        <w:t xml:space="preserve">, L., Li, J., &amp; Cheng, L. 2019. Outside in: Global demand heterogeneity and dynamic capabilities of multinational enterprises. </w:t>
      </w:r>
      <w:r w:rsidRPr="004B5015">
        <w:rPr>
          <w:i/>
          <w:iCs/>
        </w:rPr>
        <w:t>Journal of International Business Studies</w:t>
      </w:r>
      <w:r w:rsidRPr="004B5015">
        <w:t>.</w:t>
      </w:r>
    </w:p>
    <w:p w14:paraId="313F155D" w14:textId="389ED4DA" w:rsidR="00262481" w:rsidRPr="004B5015" w:rsidRDefault="00262481" w:rsidP="00C10A9A">
      <w:pPr>
        <w:ind w:left="360" w:hanging="360"/>
        <w:jc w:val="both"/>
      </w:pPr>
      <w:r w:rsidRPr="004B5015">
        <w:lastRenderedPageBreak/>
        <w:t xml:space="preserve">Zhang, Y. 2019. The people behind </w:t>
      </w:r>
      <w:proofErr w:type="spellStart"/>
      <w:r w:rsidRPr="004B5015">
        <w:t>ByteDance’s</w:t>
      </w:r>
      <w:proofErr w:type="spellEnd"/>
      <w:r w:rsidRPr="004B5015">
        <w:t xml:space="preserve"> app factory. </w:t>
      </w:r>
      <w:r w:rsidRPr="004B5015">
        <w:rPr>
          <w:i/>
          <w:iCs/>
        </w:rPr>
        <w:t>The Information.</w:t>
      </w:r>
      <w:r w:rsidRPr="004B5015">
        <w:t xml:space="preserve"> Accessed </w:t>
      </w:r>
      <w:r w:rsidR="005D0E59">
        <w:t>March 22</w:t>
      </w:r>
      <w:r w:rsidRPr="004B5015">
        <w:t>, 202</w:t>
      </w:r>
      <w:r w:rsidR="005D0E59">
        <w:t>2</w:t>
      </w:r>
      <w:r w:rsidRPr="004B5015">
        <w:t xml:space="preserve">. </w:t>
      </w:r>
      <w:hyperlink r:id="rId13" w:history="1">
        <w:r w:rsidRPr="004B5015">
          <w:rPr>
            <w:rStyle w:val="Hyperlink"/>
            <w:color w:val="auto"/>
            <w:u w:val="none"/>
          </w:rPr>
          <w:t>https://www.theinformation.com/articles/the-people-behind-bytedances-app-factory</w:t>
        </w:r>
      </w:hyperlink>
    </w:p>
    <w:p w14:paraId="43A85918" w14:textId="77777777" w:rsidR="00196164" w:rsidRPr="00196164" w:rsidRDefault="00196164" w:rsidP="00196164">
      <w:pPr>
        <w:rPr>
          <w:rFonts w:ascii="Calibri" w:hAnsi="Calibri" w:cs="Calibri"/>
          <w:color w:val="000000"/>
          <w:sz w:val="22"/>
          <w:szCs w:val="22"/>
        </w:rPr>
      </w:pPr>
    </w:p>
    <w:p w14:paraId="38193372" w14:textId="77777777" w:rsidR="00F70E20" w:rsidRDefault="00F70E20">
      <w:pPr>
        <w:rPr>
          <w:sz w:val="22"/>
        </w:rPr>
        <w:sectPr w:rsidR="00F70E20" w:rsidSect="003F280C">
          <w:headerReference w:type="even" r:id="rId14"/>
          <w:headerReference w:type="default" r:id="rId15"/>
          <w:footerReference w:type="even" r:id="rId16"/>
          <w:footerReference w:type="default" r:id="rId17"/>
          <w:headerReference w:type="first" r:id="rId18"/>
          <w:footerReference w:type="first" r:id="rId19"/>
          <w:endnotePr>
            <w:numFmt w:val="decimal"/>
          </w:endnotePr>
          <w:pgSz w:w="12240" w:h="15840"/>
          <w:pgMar w:top="1440" w:right="1440" w:bottom="1440" w:left="1440" w:header="720" w:footer="342" w:gutter="0"/>
          <w:cols w:space="720"/>
          <w:docGrid w:linePitch="360"/>
        </w:sectPr>
      </w:pPr>
    </w:p>
    <w:p w14:paraId="39D77B93" w14:textId="77777777" w:rsidR="00F70E20" w:rsidRDefault="00F70E20" w:rsidP="00F70E20">
      <w:pPr>
        <w:tabs>
          <w:tab w:val="left" w:pos="3435"/>
        </w:tabs>
        <w:jc w:val="center"/>
        <w:rPr>
          <w:b/>
          <w:bCs/>
        </w:rPr>
      </w:pPr>
      <w:r>
        <w:rPr>
          <w:b/>
          <w:bCs/>
        </w:rPr>
        <w:lastRenderedPageBreak/>
        <w:t>TABLES &amp; FIGURES</w:t>
      </w:r>
    </w:p>
    <w:p w14:paraId="1AAC841B" w14:textId="77777777" w:rsidR="00F70E20" w:rsidRPr="00966F0F" w:rsidRDefault="00F70E20" w:rsidP="00F70E20">
      <w:pPr>
        <w:tabs>
          <w:tab w:val="left" w:pos="3435"/>
        </w:tabs>
        <w:rPr>
          <w:b/>
          <w:bCs/>
        </w:rPr>
      </w:pPr>
    </w:p>
    <w:p w14:paraId="6754C125" w14:textId="77777777" w:rsidR="00F70E20" w:rsidRDefault="00F70E20" w:rsidP="00F70E20">
      <w:pPr>
        <w:rPr>
          <w:b/>
          <w:bCs/>
        </w:rPr>
      </w:pPr>
      <w:r>
        <w:rPr>
          <w:b/>
          <w:bCs/>
        </w:rPr>
        <w:t>Table 1: Correlations and descriptive statistics</w:t>
      </w:r>
    </w:p>
    <w:p w14:paraId="39829144" w14:textId="77777777" w:rsidR="00F70E20" w:rsidRDefault="00F70E20" w:rsidP="00F70E20">
      <w:pPr>
        <w:rPr>
          <w:b/>
          <w:bCs/>
        </w:rPr>
      </w:pPr>
    </w:p>
    <w:tbl>
      <w:tblPr>
        <w:tblW w:w="12757" w:type="dxa"/>
        <w:tblCellMar>
          <w:left w:w="0" w:type="dxa"/>
          <w:right w:w="0" w:type="dxa"/>
        </w:tblCellMar>
        <w:tblLook w:val="04A0" w:firstRow="1" w:lastRow="0" w:firstColumn="1" w:lastColumn="0" w:noHBand="0" w:noVBand="1"/>
      </w:tblPr>
      <w:tblGrid>
        <w:gridCol w:w="1886"/>
        <w:gridCol w:w="691"/>
        <w:gridCol w:w="522"/>
        <w:gridCol w:w="653"/>
        <w:gridCol w:w="653"/>
        <w:gridCol w:w="653"/>
        <w:gridCol w:w="653"/>
        <w:gridCol w:w="653"/>
        <w:gridCol w:w="653"/>
        <w:gridCol w:w="653"/>
        <w:gridCol w:w="653"/>
        <w:gridCol w:w="653"/>
        <w:gridCol w:w="653"/>
        <w:gridCol w:w="653"/>
        <w:gridCol w:w="653"/>
        <w:gridCol w:w="653"/>
        <w:gridCol w:w="653"/>
        <w:gridCol w:w="516"/>
      </w:tblGrid>
      <w:tr w:rsidR="00F70E20" w:rsidRPr="001C5555" w14:paraId="3DD5335B" w14:textId="77777777" w:rsidTr="0099770F">
        <w:trPr>
          <w:trHeight w:val="369"/>
        </w:trPr>
        <w:tc>
          <w:tcPr>
            <w:tcW w:w="2023" w:type="dxa"/>
            <w:tcBorders>
              <w:top w:val="single" w:sz="12" w:space="0" w:color="auto"/>
              <w:left w:val="nil"/>
              <w:bottom w:val="single" w:sz="4" w:space="0" w:color="auto"/>
              <w:right w:val="nil"/>
            </w:tcBorders>
            <w:shd w:val="clear" w:color="auto" w:fill="auto"/>
            <w:vAlign w:val="center"/>
            <w:hideMark/>
          </w:tcPr>
          <w:p w14:paraId="610BBBF6" w14:textId="77777777" w:rsidR="00F70E20" w:rsidRPr="002F5B60" w:rsidRDefault="00F70E20" w:rsidP="0099770F">
            <w:pPr>
              <w:jc w:val="center"/>
              <w:rPr>
                <w:sz w:val="22"/>
              </w:rPr>
            </w:pPr>
          </w:p>
        </w:tc>
        <w:tc>
          <w:tcPr>
            <w:tcW w:w="728" w:type="dxa"/>
            <w:tcBorders>
              <w:top w:val="single" w:sz="12" w:space="0" w:color="auto"/>
              <w:left w:val="nil"/>
              <w:bottom w:val="single" w:sz="4" w:space="0" w:color="auto"/>
              <w:right w:val="nil"/>
            </w:tcBorders>
            <w:vAlign w:val="center"/>
          </w:tcPr>
          <w:p w14:paraId="1A36B98A" w14:textId="77777777" w:rsidR="00F70E20" w:rsidRPr="002F5B60" w:rsidRDefault="00F70E20" w:rsidP="0099770F">
            <w:pPr>
              <w:jc w:val="center"/>
              <w:rPr>
                <w:color w:val="000000"/>
                <w:sz w:val="22"/>
              </w:rPr>
            </w:pPr>
            <w:r w:rsidRPr="002F5B60">
              <w:rPr>
                <w:color w:val="000000"/>
                <w:sz w:val="22"/>
              </w:rPr>
              <w:t>Mean</w:t>
            </w:r>
          </w:p>
        </w:tc>
        <w:tc>
          <w:tcPr>
            <w:tcW w:w="547" w:type="dxa"/>
            <w:tcBorders>
              <w:top w:val="single" w:sz="12" w:space="0" w:color="auto"/>
              <w:left w:val="nil"/>
              <w:bottom w:val="single" w:sz="4" w:space="0" w:color="auto"/>
              <w:right w:val="nil"/>
            </w:tcBorders>
            <w:vAlign w:val="center"/>
          </w:tcPr>
          <w:p w14:paraId="4078AF8F" w14:textId="77777777" w:rsidR="00F70E20" w:rsidRPr="002F5B60" w:rsidRDefault="00F70E20" w:rsidP="0099770F">
            <w:pPr>
              <w:jc w:val="center"/>
              <w:rPr>
                <w:color w:val="000000"/>
                <w:sz w:val="22"/>
              </w:rPr>
            </w:pPr>
            <w:r w:rsidRPr="002F5B60">
              <w:rPr>
                <w:color w:val="000000"/>
                <w:sz w:val="22"/>
              </w:rPr>
              <w:t>S.D.</w:t>
            </w:r>
          </w:p>
        </w:tc>
        <w:tc>
          <w:tcPr>
            <w:tcW w:w="637" w:type="dxa"/>
            <w:tcBorders>
              <w:top w:val="single" w:sz="12" w:space="0" w:color="auto"/>
              <w:left w:val="nil"/>
              <w:bottom w:val="single" w:sz="4" w:space="0" w:color="auto"/>
              <w:right w:val="nil"/>
            </w:tcBorders>
            <w:shd w:val="clear" w:color="auto" w:fill="auto"/>
            <w:noWrap/>
            <w:vAlign w:val="center"/>
            <w:hideMark/>
          </w:tcPr>
          <w:p w14:paraId="70F3E547" w14:textId="77777777" w:rsidR="00F70E20" w:rsidRPr="002F5B60" w:rsidRDefault="00F70E20" w:rsidP="0099770F">
            <w:pPr>
              <w:jc w:val="center"/>
              <w:rPr>
                <w:color w:val="000000"/>
                <w:sz w:val="22"/>
              </w:rPr>
            </w:pPr>
            <w:r w:rsidRPr="002F5B60">
              <w:rPr>
                <w:color w:val="000000"/>
                <w:sz w:val="22"/>
              </w:rPr>
              <w:t>1</w:t>
            </w:r>
          </w:p>
        </w:tc>
        <w:tc>
          <w:tcPr>
            <w:tcW w:w="637" w:type="dxa"/>
            <w:tcBorders>
              <w:top w:val="single" w:sz="12" w:space="0" w:color="auto"/>
              <w:left w:val="nil"/>
              <w:bottom w:val="single" w:sz="4" w:space="0" w:color="auto"/>
              <w:right w:val="nil"/>
            </w:tcBorders>
            <w:shd w:val="clear" w:color="auto" w:fill="auto"/>
            <w:noWrap/>
            <w:vAlign w:val="center"/>
            <w:hideMark/>
          </w:tcPr>
          <w:p w14:paraId="57AFB6F3" w14:textId="77777777" w:rsidR="00F70E20" w:rsidRPr="002F5B60" w:rsidRDefault="00F70E20" w:rsidP="0099770F">
            <w:pPr>
              <w:jc w:val="center"/>
              <w:rPr>
                <w:color w:val="000000"/>
                <w:sz w:val="22"/>
              </w:rPr>
            </w:pPr>
            <w:r w:rsidRPr="002F5B60">
              <w:rPr>
                <w:color w:val="000000"/>
                <w:sz w:val="22"/>
              </w:rPr>
              <w:t>2</w:t>
            </w:r>
          </w:p>
        </w:tc>
        <w:tc>
          <w:tcPr>
            <w:tcW w:w="637" w:type="dxa"/>
            <w:tcBorders>
              <w:top w:val="single" w:sz="12" w:space="0" w:color="auto"/>
              <w:left w:val="nil"/>
              <w:bottom w:val="single" w:sz="4" w:space="0" w:color="auto"/>
              <w:right w:val="nil"/>
            </w:tcBorders>
            <w:shd w:val="clear" w:color="auto" w:fill="auto"/>
            <w:noWrap/>
            <w:vAlign w:val="center"/>
            <w:hideMark/>
          </w:tcPr>
          <w:p w14:paraId="0B0A6052" w14:textId="77777777" w:rsidR="00F70E20" w:rsidRPr="002F5B60" w:rsidRDefault="00F70E20" w:rsidP="0099770F">
            <w:pPr>
              <w:jc w:val="center"/>
              <w:rPr>
                <w:color w:val="000000"/>
                <w:sz w:val="22"/>
              </w:rPr>
            </w:pPr>
            <w:r w:rsidRPr="002F5B60">
              <w:rPr>
                <w:color w:val="000000"/>
                <w:sz w:val="22"/>
              </w:rPr>
              <w:t>3</w:t>
            </w:r>
          </w:p>
        </w:tc>
        <w:tc>
          <w:tcPr>
            <w:tcW w:w="637" w:type="dxa"/>
            <w:tcBorders>
              <w:top w:val="single" w:sz="12" w:space="0" w:color="auto"/>
              <w:left w:val="nil"/>
              <w:bottom w:val="single" w:sz="4" w:space="0" w:color="auto"/>
              <w:right w:val="nil"/>
            </w:tcBorders>
            <w:shd w:val="clear" w:color="auto" w:fill="auto"/>
            <w:noWrap/>
            <w:vAlign w:val="center"/>
            <w:hideMark/>
          </w:tcPr>
          <w:p w14:paraId="281DEDAD" w14:textId="77777777" w:rsidR="00F70E20" w:rsidRPr="002F5B60" w:rsidRDefault="00F70E20" w:rsidP="0099770F">
            <w:pPr>
              <w:jc w:val="center"/>
              <w:rPr>
                <w:color w:val="000000"/>
                <w:sz w:val="22"/>
              </w:rPr>
            </w:pPr>
            <w:r w:rsidRPr="002F5B60">
              <w:rPr>
                <w:color w:val="000000"/>
                <w:sz w:val="22"/>
              </w:rPr>
              <w:t>4</w:t>
            </w:r>
          </w:p>
        </w:tc>
        <w:tc>
          <w:tcPr>
            <w:tcW w:w="637" w:type="dxa"/>
            <w:tcBorders>
              <w:top w:val="single" w:sz="12" w:space="0" w:color="auto"/>
              <w:left w:val="nil"/>
              <w:bottom w:val="single" w:sz="4" w:space="0" w:color="auto"/>
              <w:right w:val="nil"/>
            </w:tcBorders>
            <w:shd w:val="clear" w:color="auto" w:fill="auto"/>
            <w:noWrap/>
            <w:vAlign w:val="center"/>
            <w:hideMark/>
          </w:tcPr>
          <w:p w14:paraId="1F33CF0E" w14:textId="77777777" w:rsidR="00F70E20" w:rsidRPr="002F5B60" w:rsidRDefault="00F70E20" w:rsidP="0099770F">
            <w:pPr>
              <w:jc w:val="center"/>
              <w:rPr>
                <w:color w:val="000000"/>
                <w:sz w:val="22"/>
              </w:rPr>
            </w:pPr>
            <w:r w:rsidRPr="002F5B60">
              <w:rPr>
                <w:color w:val="000000"/>
                <w:sz w:val="22"/>
              </w:rPr>
              <w:t>5</w:t>
            </w:r>
          </w:p>
        </w:tc>
        <w:tc>
          <w:tcPr>
            <w:tcW w:w="637" w:type="dxa"/>
            <w:tcBorders>
              <w:top w:val="single" w:sz="12" w:space="0" w:color="auto"/>
              <w:left w:val="nil"/>
              <w:bottom w:val="single" w:sz="4" w:space="0" w:color="auto"/>
              <w:right w:val="nil"/>
            </w:tcBorders>
            <w:shd w:val="clear" w:color="auto" w:fill="auto"/>
            <w:noWrap/>
            <w:vAlign w:val="center"/>
            <w:hideMark/>
          </w:tcPr>
          <w:p w14:paraId="219B1152" w14:textId="77777777" w:rsidR="00F70E20" w:rsidRPr="002F5B60" w:rsidRDefault="00F70E20" w:rsidP="0099770F">
            <w:pPr>
              <w:jc w:val="center"/>
              <w:rPr>
                <w:color w:val="000000"/>
                <w:sz w:val="22"/>
              </w:rPr>
            </w:pPr>
            <w:r w:rsidRPr="002F5B60">
              <w:rPr>
                <w:color w:val="000000"/>
                <w:sz w:val="22"/>
              </w:rPr>
              <w:t>6</w:t>
            </w:r>
          </w:p>
        </w:tc>
        <w:tc>
          <w:tcPr>
            <w:tcW w:w="637" w:type="dxa"/>
            <w:tcBorders>
              <w:top w:val="single" w:sz="12" w:space="0" w:color="auto"/>
              <w:left w:val="nil"/>
              <w:bottom w:val="single" w:sz="4" w:space="0" w:color="auto"/>
              <w:right w:val="nil"/>
            </w:tcBorders>
            <w:shd w:val="clear" w:color="auto" w:fill="auto"/>
            <w:noWrap/>
            <w:vAlign w:val="center"/>
            <w:hideMark/>
          </w:tcPr>
          <w:p w14:paraId="54F44A55" w14:textId="77777777" w:rsidR="00F70E20" w:rsidRPr="002F5B60" w:rsidRDefault="00F70E20" w:rsidP="0099770F">
            <w:pPr>
              <w:jc w:val="center"/>
              <w:rPr>
                <w:color w:val="000000"/>
                <w:sz w:val="22"/>
              </w:rPr>
            </w:pPr>
            <w:r w:rsidRPr="002F5B60">
              <w:rPr>
                <w:color w:val="000000"/>
                <w:sz w:val="22"/>
              </w:rPr>
              <w:t>7</w:t>
            </w:r>
          </w:p>
        </w:tc>
        <w:tc>
          <w:tcPr>
            <w:tcW w:w="637" w:type="dxa"/>
            <w:tcBorders>
              <w:top w:val="single" w:sz="12" w:space="0" w:color="auto"/>
              <w:left w:val="nil"/>
              <w:bottom w:val="single" w:sz="4" w:space="0" w:color="auto"/>
              <w:right w:val="nil"/>
            </w:tcBorders>
            <w:shd w:val="clear" w:color="auto" w:fill="auto"/>
            <w:noWrap/>
            <w:vAlign w:val="center"/>
            <w:hideMark/>
          </w:tcPr>
          <w:p w14:paraId="3AD48D06" w14:textId="77777777" w:rsidR="00F70E20" w:rsidRPr="002F5B60" w:rsidRDefault="00F70E20" w:rsidP="0099770F">
            <w:pPr>
              <w:jc w:val="center"/>
              <w:rPr>
                <w:color w:val="000000"/>
                <w:sz w:val="22"/>
              </w:rPr>
            </w:pPr>
            <w:r w:rsidRPr="002F5B60">
              <w:rPr>
                <w:color w:val="000000"/>
                <w:sz w:val="22"/>
              </w:rPr>
              <w:t>8</w:t>
            </w:r>
          </w:p>
        </w:tc>
        <w:tc>
          <w:tcPr>
            <w:tcW w:w="637" w:type="dxa"/>
            <w:tcBorders>
              <w:top w:val="single" w:sz="12" w:space="0" w:color="auto"/>
              <w:left w:val="nil"/>
              <w:bottom w:val="single" w:sz="4" w:space="0" w:color="auto"/>
              <w:right w:val="nil"/>
            </w:tcBorders>
            <w:shd w:val="clear" w:color="auto" w:fill="auto"/>
            <w:noWrap/>
            <w:vAlign w:val="center"/>
            <w:hideMark/>
          </w:tcPr>
          <w:p w14:paraId="0732F979" w14:textId="77777777" w:rsidR="00F70E20" w:rsidRPr="002F5B60" w:rsidRDefault="00F70E20" w:rsidP="0099770F">
            <w:pPr>
              <w:jc w:val="center"/>
              <w:rPr>
                <w:color w:val="000000"/>
                <w:sz w:val="22"/>
              </w:rPr>
            </w:pPr>
            <w:r w:rsidRPr="002F5B60">
              <w:rPr>
                <w:color w:val="000000"/>
                <w:sz w:val="22"/>
              </w:rPr>
              <w:t>9</w:t>
            </w:r>
          </w:p>
        </w:tc>
        <w:tc>
          <w:tcPr>
            <w:tcW w:w="637" w:type="dxa"/>
            <w:tcBorders>
              <w:top w:val="single" w:sz="12" w:space="0" w:color="auto"/>
              <w:left w:val="nil"/>
              <w:bottom w:val="single" w:sz="4" w:space="0" w:color="auto"/>
              <w:right w:val="nil"/>
            </w:tcBorders>
            <w:shd w:val="clear" w:color="auto" w:fill="auto"/>
            <w:noWrap/>
            <w:vAlign w:val="center"/>
            <w:hideMark/>
          </w:tcPr>
          <w:p w14:paraId="499945B6" w14:textId="77777777" w:rsidR="00F70E20" w:rsidRPr="002F5B60" w:rsidRDefault="00F70E20" w:rsidP="0099770F">
            <w:pPr>
              <w:jc w:val="center"/>
              <w:rPr>
                <w:color w:val="000000"/>
                <w:sz w:val="22"/>
              </w:rPr>
            </w:pPr>
            <w:r w:rsidRPr="002F5B60">
              <w:rPr>
                <w:color w:val="000000"/>
                <w:sz w:val="22"/>
              </w:rPr>
              <w:t>10</w:t>
            </w:r>
          </w:p>
        </w:tc>
        <w:tc>
          <w:tcPr>
            <w:tcW w:w="637" w:type="dxa"/>
            <w:tcBorders>
              <w:top w:val="single" w:sz="12" w:space="0" w:color="auto"/>
              <w:left w:val="nil"/>
              <w:bottom w:val="single" w:sz="4" w:space="0" w:color="auto"/>
              <w:right w:val="nil"/>
            </w:tcBorders>
            <w:shd w:val="clear" w:color="auto" w:fill="auto"/>
            <w:noWrap/>
            <w:vAlign w:val="center"/>
            <w:hideMark/>
          </w:tcPr>
          <w:p w14:paraId="18143E25" w14:textId="77777777" w:rsidR="00F70E20" w:rsidRPr="002F5B60" w:rsidRDefault="00F70E20" w:rsidP="0099770F">
            <w:pPr>
              <w:jc w:val="center"/>
              <w:rPr>
                <w:color w:val="000000"/>
                <w:sz w:val="22"/>
              </w:rPr>
            </w:pPr>
            <w:r w:rsidRPr="002F5B60">
              <w:rPr>
                <w:color w:val="000000"/>
                <w:sz w:val="22"/>
              </w:rPr>
              <w:t>11</w:t>
            </w:r>
          </w:p>
        </w:tc>
        <w:tc>
          <w:tcPr>
            <w:tcW w:w="637" w:type="dxa"/>
            <w:tcBorders>
              <w:top w:val="single" w:sz="12" w:space="0" w:color="auto"/>
              <w:left w:val="nil"/>
              <w:bottom w:val="single" w:sz="4" w:space="0" w:color="auto"/>
              <w:right w:val="nil"/>
            </w:tcBorders>
            <w:shd w:val="clear" w:color="auto" w:fill="auto"/>
            <w:noWrap/>
            <w:vAlign w:val="center"/>
            <w:hideMark/>
          </w:tcPr>
          <w:p w14:paraId="5BA0E1EA" w14:textId="77777777" w:rsidR="00F70E20" w:rsidRPr="002F5B60" w:rsidRDefault="00F70E20" w:rsidP="0099770F">
            <w:pPr>
              <w:jc w:val="center"/>
              <w:rPr>
                <w:color w:val="000000"/>
                <w:sz w:val="22"/>
              </w:rPr>
            </w:pPr>
            <w:r w:rsidRPr="002F5B60">
              <w:rPr>
                <w:color w:val="000000"/>
                <w:sz w:val="22"/>
              </w:rPr>
              <w:t>12</w:t>
            </w:r>
          </w:p>
        </w:tc>
        <w:tc>
          <w:tcPr>
            <w:tcW w:w="637" w:type="dxa"/>
            <w:tcBorders>
              <w:top w:val="single" w:sz="12" w:space="0" w:color="auto"/>
              <w:left w:val="nil"/>
              <w:bottom w:val="single" w:sz="4" w:space="0" w:color="auto"/>
              <w:right w:val="nil"/>
            </w:tcBorders>
            <w:shd w:val="clear" w:color="auto" w:fill="auto"/>
            <w:noWrap/>
            <w:vAlign w:val="center"/>
            <w:hideMark/>
          </w:tcPr>
          <w:p w14:paraId="4607AAFE" w14:textId="77777777" w:rsidR="00F70E20" w:rsidRPr="002F5B60" w:rsidRDefault="00F70E20" w:rsidP="0099770F">
            <w:pPr>
              <w:jc w:val="center"/>
              <w:rPr>
                <w:color w:val="000000"/>
                <w:sz w:val="22"/>
              </w:rPr>
            </w:pPr>
            <w:r w:rsidRPr="002F5B60">
              <w:rPr>
                <w:color w:val="000000"/>
                <w:sz w:val="22"/>
              </w:rPr>
              <w:t>13</w:t>
            </w:r>
          </w:p>
        </w:tc>
        <w:tc>
          <w:tcPr>
            <w:tcW w:w="637" w:type="dxa"/>
            <w:tcBorders>
              <w:top w:val="single" w:sz="12" w:space="0" w:color="auto"/>
              <w:left w:val="nil"/>
              <w:bottom w:val="single" w:sz="4" w:space="0" w:color="auto"/>
              <w:right w:val="nil"/>
            </w:tcBorders>
            <w:shd w:val="clear" w:color="auto" w:fill="auto"/>
            <w:noWrap/>
            <w:vAlign w:val="center"/>
            <w:hideMark/>
          </w:tcPr>
          <w:p w14:paraId="2F37BC13" w14:textId="77777777" w:rsidR="00F70E20" w:rsidRPr="002F5B60" w:rsidRDefault="00F70E20" w:rsidP="0099770F">
            <w:pPr>
              <w:jc w:val="center"/>
              <w:rPr>
                <w:color w:val="000000"/>
                <w:sz w:val="22"/>
              </w:rPr>
            </w:pPr>
            <w:r w:rsidRPr="002F5B60">
              <w:rPr>
                <w:color w:val="000000"/>
                <w:sz w:val="22"/>
              </w:rPr>
              <w:t>14</w:t>
            </w:r>
          </w:p>
        </w:tc>
        <w:tc>
          <w:tcPr>
            <w:tcW w:w="541" w:type="dxa"/>
            <w:tcBorders>
              <w:top w:val="single" w:sz="12" w:space="0" w:color="auto"/>
              <w:left w:val="nil"/>
              <w:bottom w:val="single" w:sz="4" w:space="0" w:color="auto"/>
              <w:right w:val="nil"/>
            </w:tcBorders>
            <w:vAlign w:val="center"/>
          </w:tcPr>
          <w:p w14:paraId="0836EAAA" w14:textId="77777777" w:rsidR="00F70E20" w:rsidRPr="002F5B60" w:rsidRDefault="00F70E20" w:rsidP="0099770F">
            <w:pPr>
              <w:jc w:val="center"/>
              <w:rPr>
                <w:color w:val="000000"/>
                <w:sz w:val="22"/>
              </w:rPr>
            </w:pPr>
            <w:r w:rsidRPr="002F5B60">
              <w:rPr>
                <w:color w:val="000000"/>
                <w:sz w:val="22"/>
              </w:rPr>
              <w:t>15</w:t>
            </w:r>
          </w:p>
        </w:tc>
      </w:tr>
      <w:tr w:rsidR="00F70E20" w:rsidRPr="001C5555" w14:paraId="6A9C204E" w14:textId="77777777" w:rsidTr="0099770F">
        <w:trPr>
          <w:trHeight w:hRule="exact" w:val="144"/>
        </w:trPr>
        <w:tc>
          <w:tcPr>
            <w:tcW w:w="2023" w:type="dxa"/>
            <w:tcBorders>
              <w:top w:val="single" w:sz="4" w:space="0" w:color="auto"/>
              <w:left w:val="nil"/>
              <w:right w:val="nil"/>
            </w:tcBorders>
            <w:shd w:val="clear" w:color="auto" w:fill="auto"/>
            <w:vAlign w:val="center"/>
          </w:tcPr>
          <w:p w14:paraId="371FFB5B" w14:textId="77777777" w:rsidR="00F70E20" w:rsidRPr="002F5B60" w:rsidRDefault="00F70E20" w:rsidP="0099770F">
            <w:pPr>
              <w:jc w:val="center"/>
              <w:rPr>
                <w:color w:val="000000"/>
                <w:sz w:val="22"/>
              </w:rPr>
            </w:pPr>
          </w:p>
        </w:tc>
        <w:tc>
          <w:tcPr>
            <w:tcW w:w="728" w:type="dxa"/>
            <w:tcBorders>
              <w:top w:val="single" w:sz="4" w:space="0" w:color="auto"/>
              <w:left w:val="nil"/>
              <w:right w:val="nil"/>
            </w:tcBorders>
            <w:vAlign w:val="center"/>
          </w:tcPr>
          <w:p w14:paraId="60FAAEF8" w14:textId="77777777" w:rsidR="00F70E20" w:rsidRPr="002F5B60" w:rsidRDefault="00F70E20" w:rsidP="0099770F">
            <w:pPr>
              <w:jc w:val="center"/>
              <w:rPr>
                <w:color w:val="000000"/>
                <w:sz w:val="22"/>
              </w:rPr>
            </w:pPr>
          </w:p>
        </w:tc>
        <w:tc>
          <w:tcPr>
            <w:tcW w:w="547" w:type="dxa"/>
            <w:tcBorders>
              <w:top w:val="single" w:sz="4" w:space="0" w:color="auto"/>
              <w:left w:val="nil"/>
              <w:right w:val="nil"/>
            </w:tcBorders>
            <w:vAlign w:val="center"/>
          </w:tcPr>
          <w:p w14:paraId="0C1742ED" w14:textId="77777777" w:rsidR="00F70E20" w:rsidRPr="002F5B60" w:rsidRDefault="00F70E20" w:rsidP="0099770F">
            <w:pPr>
              <w:jc w:val="center"/>
              <w:rPr>
                <w:color w:val="000000"/>
                <w:sz w:val="22"/>
              </w:rPr>
            </w:pPr>
          </w:p>
        </w:tc>
        <w:tc>
          <w:tcPr>
            <w:tcW w:w="637" w:type="dxa"/>
            <w:tcBorders>
              <w:top w:val="single" w:sz="4" w:space="0" w:color="auto"/>
              <w:left w:val="nil"/>
              <w:right w:val="nil"/>
            </w:tcBorders>
            <w:shd w:val="clear" w:color="auto" w:fill="auto"/>
            <w:noWrap/>
            <w:vAlign w:val="center"/>
          </w:tcPr>
          <w:p w14:paraId="736F47F9" w14:textId="77777777" w:rsidR="00F70E20" w:rsidRPr="002F5B60" w:rsidRDefault="00F70E20" w:rsidP="0099770F">
            <w:pPr>
              <w:jc w:val="center"/>
              <w:rPr>
                <w:color w:val="000000"/>
                <w:sz w:val="22"/>
              </w:rPr>
            </w:pPr>
          </w:p>
        </w:tc>
        <w:tc>
          <w:tcPr>
            <w:tcW w:w="637" w:type="dxa"/>
            <w:tcBorders>
              <w:top w:val="single" w:sz="4" w:space="0" w:color="auto"/>
              <w:left w:val="nil"/>
              <w:right w:val="nil"/>
            </w:tcBorders>
            <w:shd w:val="clear" w:color="auto" w:fill="auto"/>
            <w:noWrap/>
            <w:vAlign w:val="center"/>
          </w:tcPr>
          <w:p w14:paraId="0F291F69" w14:textId="77777777" w:rsidR="00F70E20" w:rsidRPr="002F5B60" w:rsidRDefault="00F70E20" w:rsidP="0099770F">
            <w:pPr>
              <w:jc w:val="center"/>
              <w:rPr>
                <w:color w:val="000000"/>
                <w:sz w:val="22"/>
              </w:rPr>
            </w:pPr>
          </w:p>
        </w:tc>
        <w:tc>
          <w:tcPr>
            <w:tcW w:w="637" w:type="dxa"/>
            <w:tcBorders>
              <w:top w:val="single" w:sz="4" w:space="0" w:color="auto"/>
              <w:left w:val="nil"/>
              <w:right w:val="nil"/>
            </w:tcBorders>
            <w:shd w:val="clear" w:color="auto" w:fill="auto"/>
            <w:noWrap/>
            <w:vAlign w:val="center"/>
          </w:tcPr>
          <w:p w14:paraId="37A6ADAD" w14:textId="77777777" w:rsidR="00F70E20" w:rsidRPr="002F5B60" w:rsidRDefault="00F70E20" w:rsidP="0099770F">
            <w:pPr>
              <w:jc w:val="center"/>
              <w:rPr>
                <w:sz w:val="22"/>
              </w:rPr>
            </w:pPr>
          </w:p>
        </w:tc>
        <w:tc>
          <w:tcPr>
            <w:tcW w:w="637" w:type="dxa"/>
            <w:tcBorders>
              <w:top w:val="single" w:sz="4" w:space="0" w:color="auto"/>
              <w:left w:val="nil"/>
              <w:right w:val="nil"/>
            </w:tcBorders>
            <w:shd w:val="clear" w:color="auto" w:fill="auto"/>
            <w:noWrap/>
            <w:vAlign w:val="center"/>
          </w:tcPr>
          <w:p w14:paraId="106197F9" w14:textId="77777777" w:rsidR="00F70E20" w:rsidRPr="002F5B60" w:rsidRDefault="00F70E20" w:rsidP="0099770F">
            <w:pPr>
              <w:jc w:val="center"/>
              <w:rPr>
                <w:sz w:val="22"/>
              </w:rPr>
            </w:pPr>
          </w:p>
        </w:tc>
        <w:tc>
          <w:tcPr>
            <w:tcW w:w="637" w:type="dxa"/>
            <w:tcBorders>
              <w:top w:val="single" w:sz="4" w:space="0" w:color="auto"/>
              <w:left w:val="nil"/>
              <w:right w:val="nil"/>
            </w:tcBorders>
            <w:shd w:val="clear" w:color="auto" w:fill="auto"/>
            <w:noWrap/>
            <w:vAlign w:val="center"/>
          </w:tcPr>
          <w:p w14:paraId="0B0FE1EF" w14:textId="77777777" w:rsidR="00F70E20" w:rsidRPr="002F5B60" w:rsidRDefault="00F70E20" w:rsidP="0099770F">
            <w:pPr>
              <w:jc w:val="center"/>
              <w:rPr>
                <w:sz w:val="22"/>
              </w:rPr>
            </w:pPr>
          </w:p>
        </w:tc>
        <w:tc>
          <w:tcPr>
            <w:tcW w:w="637" w:type="dxa"/>
            <w:tcBorders>
              <w:top w:val="single" w:sz="4" w:space="0" w:color="auto"/>
              <w:left w:val="nil"/>
              <w:right w:val="nil"/>
            </w:tcBorders>
            <w:shd w:val="clear" w:color="auto" w:fill="auto"/>
            <w:noWrap/>
            <w:vAlign w:val="center"/>
          </w:tcPr>
          <w:p w14:paraId="7B5B4352" w14:textId="77777777" w:rsidR="00F70E20" w:rsidRPr="002F5B60" w:rsidRDefault="00F70E20" w:rsidP="0099770F">
            <w:pPr>
              <w:jc w:val="center"/>
              <w:rPr>
                <w:sz w:val="22"/>
              </w:rPr>
            </w:pPr>
          </w:p>
        </w:tc>
        <w:tc>
          <w:tcPr>
            <w:tcW w:w="637" w:type="dxa"/>
            <w:tcBorders>
              <w:top w:val="single" w:sz="4" w:space="0" w:color="auto"/>
              <w:left w:val="nil"/>
              <w:right w:val="nil"/>
            </w:tcBorders>
            <w:shd w:val="clear" w:color="auto" w:fill="auto"/>
            <w:noWrap/>
            <w:vAlign w:val="center"/>
          </w:tcPr>
          <w:p w14:paraId="77329526" w14:textId="77777777" w:rsidR="00F70E20" w:rsidRPr="002F5B60" w:rsidRDefault="00F70E20" w:rsidP="0099770F">
            <w:pPr>
              <w:jc w:val="center"/>
              <w:rPr>
                <w:sz w:val="22"/>
              </w:rPr>
            </w:pPr>
          </w:p>
        </w:tc>
        <w:tc>
          <w:tcPr>
            <w:tcW w:w="637" w:type="dxa"/>
            <w:tcBorders>
              <w:top w:val="single" w:sz="4" w:space="0" w:color="auto"/>
              <w:left w:val="nil"/>
              <w:right w:val="nil"/>
            </w:tcBorders>
            <w:shd w:val="clear" w:color="auto" w:fill="auto"/>
            <w:noWrap/>
            <w:vAlign w:val="center"/>
          </w:tcPr>
          <w:p w14:paraId="6A90D674" w14:textId="77777777" w:rsidR="00F70E20" w:rsidRPr="002F5B60" w:rsidRDefault="00F70E20" w:rsidP="0099770F">
            <w:pPr>
              <w:jc w:val="center"/>
              <w:rPr>
                <w:sz w:val="22"/>
              </w:rPr>
            </w:pPr>
          </w:p>
        </w:tc>
        <w:tc>
          <w:tcPr>
            <w:tcW w:w="637" w:type="dxa"/>
            <w:tcBorders>
              <w:top w:val="single" w:sz="4" w:space="0" w:color="auto"/>
              <w:left w:val="nil"/>
              <w:right w:val="nil"/>
            </w:tcBorders>
            <w:shd w:val="clear" w:color="auto" w:fill="auto"/>
            <w:noWrap/>
            <w:vAlign w:val="center"/>
          </w:tcPr>
          <w:p w14:paraId="517FFF86" w14:textId="77777777" w:rsidR="00F70E20" w:rsidRPr="002F5B60" w:rsidRDefault="00F70E20" w:rsidP="0099770F">
            <w:pPr>
              <w:jc w:val="center"/>
              <w:rPr>
                <w:sz w:val="22"/>
              </w:rPr>
            </w:pPr>
          </w:p>
        </w:tc>
        <w:tc>
          <w:tcPr>
            <w:tcW w:w="637" w:type="dxa"/>
            <w:tcBorders>
              <w:top w:val="single" w:sz="4" w:space="0" w:color="auto"/>
              <w:left w:val="nil"/>
              <w:right w:val="nil"/>
            </w:tcBorders>
            <w:shd w:val="clear" w:color="auto" w:fill="auto"/>
            <w:noWrap/>
            <w:vAlign w:val="center"/>
          </w:tcPr>
          <w:p w14:paraId="367A9A49" w14:textId="77777777" w:rsidR="00F70E20" w:rsidRPr="002F5B60" w:rsidRDefault="00F70E20" w:rsidP="0099770F">
            <w:pPr>
              <w:jc w:val="center"/>
              <w:rPr>
                <w:sz w:val="22"/>
              </w:rPr>
            </w:pPr>
          </w:p>
        </w:tc>
        <w:tc>
          <w:tcPr>
            <w:tcW w:w="637" w:type="dxa"/>
            <w:tcBorders>
              <w:top w:val="single" w:sz="4" w:space="0" w:color="auto"/>
              <w:left w:val="nil"/>
              <w:right w:val="nil"/>
            </w:tcBorders>
            <w:shd w:val="clear" w:color="auto" w:fill="auto"/>
            <w:noWrap/>
            <w:vAlign w:val="center"/>
          </w:tcPr>
          <w:p w14:paraId="187DBDDC" w14:textId="77777777" w:rsidR="00F70E20" w:rsidRPr="002F5B60" w:rsidRDefault="00F70E20" w:rsidP="0099770F">
            <w:pPr>
              <w:jc w:val="center"/>
              <w:rPr>
                <w:sz w:val="22"/>
              </w:rPr>
            </w:pPr>
          </w:p>
        </w:tc>
        <w:tc>
          <w:tcPr>
            <w:tcW w:w="637" w:type="dxa"/>
            <w:tcBorders>
              <w:top w:val="single" w:sz="4" w:space="0" w:color="auto"/>
              <w:left w:val="nil"/>
              <w:right w:val="nil"/>
            </w:tcBorders>
            <w:shd w:val="clear" w:color="auto" w:fill="auto"/>
            <w:noWrap/>
            <w:vAlign w:val="center"/>
          </w:tcPr>
          <w:p w14:paraId="2AE96482" w14:textId="77777777" w:rsidR="00F70E20" w:rsidRPr="002F5B60" w:rsidRDefault="00F70E20" w:rsidP="0099770F">
            <w:pPr>
              <w:jc w:val="center"/>
              <w:rPr>
                <w:sz w:val="22"/>
              </w:rPr>
            </w:pPr>
          </w:p>
        </w:tc>
        <w:tc>
          <w:tcPr>
            <w:tcW w:w="637" w:type="dxa"/>
            <w:tcBorders>
              <w:top w:val="single" w:sz="4" w:space="0" w:color="auto"/>
              <w:left w:val="nil"/>
              <w:right w:val="nil"/>
            </w:tcBorders>
            <w:shd w:val="clear" w:color="auto" w:fill="auto"/>
            <w:noWrap/>
            <w:vAlign w:val="center"/>
          </w:tcPr>
          <w:p w14:paraId="56C1A2EC" w14:textId="77777777" w:rsidR="00F70E20" w:rsidRPr="002F5B60" w:rsidRDefault="00F70E20" w:rsidP="0099770F">
            <w:pPr>
              <w:jc w:val="center"/>
              <w:rPr>
                <w:sz w:val="22"/>
              </w:rPr>
            </w:pPr>
          </w:p>
        </w:tc>
        <w:tc>
          <w:tcPr>
            <w:tcW w:w="637" w:type="dxa"/>
            <w:tcBorders>
              <w:top w:val="single" w:sz="4" w:space="0" w:color="auto"/>
              <w:left w:val="nil"/>
              <w:right w:val="nil"/>
            </w:tcBorders>
            <w:shd w:val="clear" w:color="auto" w:fill="auto"/>
            <w:noWrap/>
            <w:vAlign w:val="center"/>
          </w:tcPr>
          <w:p w14:paraId="5D940D73" w14:textId="77777777" w:rsidR="00F70E20" w:rsidRPr="002F5B60" w:rsidRDefault="00F70E20" w:rsidP="0099770F">
            <w:pPr>
              <w:jc w:val="center"/>
              <w:rPr>
                <w:sz w:val="22"/>
              </w:rPr>
            </w:pPr>
          </w:p>
        </w:tc>
        <w:tc>
          <w:tcPr>
            <w:tcW w:w="541" w:type="dxa"/>
            <w:tcBorders>
              <w:top w:val="single" w:sz="4" w:space="0" w:color="auto"/>
              <w:left w:val="nil"/>
              <w:right w:val="nil"/>
            </w:tcBorders>
            <w:vAlign w:val="center"/>
          </w:tcPr>
          <w:p w14:paraId="13D4ED31" w14:textId="77777777" w:rsidR="00F70E20" w:rsidRPr="002F5B60" w:rsidRDefault="00F70E20" w:rsidP="0099770F">
            <w:pPr>
              <w:jc w:val="center"/>
              <w:rPr>
                <w:sz w:val="22"/>
              </w:rPr>
            </w:pPr>
          </w:p>
        </w:tc>
      </w:tr>
      <w:tr w:rsidR="00F70E20" w:rsidRPr="001C5555" w14:paraId="281A1F84" w14:textId="77777777" w:rsidTr="0099770F">
        <w:trPr>
          <w:trHeight w:val="290"/>
        </w:trPr>
        <w:tc>
          <w:tcPr>
            <w:tcW w:w="2023" w:type="dxa"/>
            <w:tcBorders>
              <w:left w:val="nil"/>
              <w:bottom w:val="nil"/>
              <w:right w:val="nil"/>
            </w:tcBorders>
            <w:shd w:val="clear" w:color="auto" w:fill="auto"/>
            <w:vAlign w:val="center"/>
            <w:hideMark/>
          </w:tcPr>
          <w:p w14:paraId="02903053" w14:textId="77777777" w:rsidR="00F70E20" w:rsidRPr="002F5B60" w:rsidRDefault="00F70E20" w:rsidP="0099770F">
            <w:pPr>
              <w:rPr>
                <w:color w:val="000000"/>
                <w:sz w:val="22"/>
              </w:rPr>
            </w:pPr>
            <w:r w:rsidRPr="002F5B60">
              <w:rPr>
                <w:color w:val="000000"/>
                <w:sz w:val="22"/>
              </w:rPr>
              <w:t>1. FSTS</w:t>
            </w:r>
          </w:p>
        </w:tc>
        <w:tc>
          <w:tcPr>
            <w:tcW w:w="728" w:type="dxa"/>
            <w:tcBorders>
              <w:left w:val="nil"/>
              <w:bottom w:val="nil"/>
              <w:right w:val="nil"/>
            </w:tcBorders>
            <w:vAlign w:val="center"/>
          </w:tcPr>
          <w:p w14:paraId="709A876A" w14:textId="77777777" w:rsidR="00F70E20" w:rsidRPr="002F5B60" w:rsidRDefault="00F70E20" w:rsidP="0099770F">
            <w:pPr>
              <w:jc w:val="center"/>
              <w:rPr>
                <w:color w:val="000000"/>
                <w:sz w:val="22"/>
                <w:szCs w:val="22"/>
              </w:rPr>
            </w:pPr>
            <w:r w:rsidRPr="002F5B60">
              <w:rPr>
                <w:color w:val="000000"/>
                <w:sz w:val="22"/>
                <w:szCs w:val="22"/>
              </w:rPr>
              <w:t>0.17</w:t>
            </w:r>
          </w:p>
        </w:tc>
        <w:tc>
          <w:tcPr>
            <w:tcW w:w="547" w:type="dxa"/>
            <w:tcBorders>
              <w:left w:val="nil"/>
              <w:bottom w:val="nil"/>
              <w:right w:val="nil"/>
            </w:tcBorders>
            <w:vAlign w:val="center"/>
          </w:tcPr>
          <w:p w14:paraId="7349CE3D" w14:textId="77777777" w:rsidR="00F70E20" w:rsidRPr="002F5B60" w:rsidRDefault="00F70E20" w:rsidP="0099770F">
            <w:pPr>
              <w:jc w:val="center"/>
              <w:rPr>
                <w:color w:val="000000"/>
                <w:sz w:val="22"/>
                <w:szCs w:val="22"/>
              </w:rPr>
            </w:pPr>
            <w:r w:rsidRPr="002F5B60">
              <w:rPr>
                <w:color w:val="000000"/>
                <w:sz w:val="22"/>
                <w:szCs w:val="22"/>
              </w:rPr>
              <w:t>0.16</w:t>
            </w:r>
          </w:p>
        </w:tc>
        <w:tc>
          <w:tcPr>
            <w:tcW w:w="637" w:type="dxa"/>
            <w:tcBorders>
              <w:left w:val="nil"/>
              <w:bottom w:val="nil"/>
              <w:right w:val="nil"/>
            </w:tcBorders>
            <w:shd w:val="clear" w:color="auto" w:fill="auto"/>
            <w:noWrap/>
            <w:vAlign w:val="center"/>
          </w:tcPr>
          <w:p w14:paraId="7179FE1B" w14:textId="77777777" w:rsidR="00F70E20" w:rsidRPr="002F5B60" w:rsidRDefault="00F70E20" w:rsidP="0099770F">
            <w:pPr>
              <w:jc w:val="center"/>
              <w:rPr>
                <w:color w:val="000000"/>
                <w:sz w:val="22"/>
              </w:rPr>
            </w:pPr>
            <w:r w:rsidRPr="002F5B60">
              <w:rPr>
                <w:color w:val="000000"/>
                <w:sz w:val="22"/>
                <w:szCs w:val="22"/>
              </w:rPr>
              <w:t>1.00</w:t>
            </w:r>
          </w:p>
        </w:tc>
        <w:tc>
          <w:tcPr>
            <w:tcW w:w="637" w:type="dxa"/>
            <w:tcBorders>
              <w:left w:val="nil"/>
              <w:bottom w:val="nil"/>
              <w:right w:val="nil"/>
            </w:tcBorders>
            <w:shd w:val="clear" w:color="auto" w:fill="auto"/>
            <w:noWrap/>
            <w:vAlign w:val="center"/>
          </w:tcPr>
          <w:p w14:paraId="70164D10" w14:textId="77777777" w:rsidR="00F70E20" w:rsidRPr="002F5B60" w:rsidRDefault="00F70E20" w:rsidP="0099770F">
            <w:pPr>
              <w:jc w:val="center"/>
              <w:rPr>
                <w:color w:val="000000"/>
                <w:sz w:val="22"/>
              </w:rPr>
            </w:pPr>
          </w:p>
        </w:tc>
        <w:tc>
          <w:tcPr>
            <w:tcW w:w="637" w:type="dxa"/>
            <w:tcBorders>
              <w:left w:val="nil"/>
              <w:bottom w:val="nil"/>
              <w:right w:val="nil"/>
            </w:tcBorders>
            <w:shd w:val="clear" w:color="auto" w:fill="auto"/>
            <w:noWrap/>
            <w:vAlign w:val="center"/>
          </w:tcPr>
          <w:p w14:paraId="22975760" w14:textId="77777777" w:rsidR="00F70E20" w:rsidRPr="002F5B60" w:rsidRDefault="00F70E20" w:rsidP="0099770F">
            <w:pPr>
              <w:jc w:val="center"/>
              <w:rPr>
                <w:sz w:val="22"/>
              </w:rPr>
            </w:pPr>
          </w:p>
        </w:tc>
        <w:tc>
          <w:tcPr>
            <w:tcW w:w="637" w:type="dxa"/>
            <w:tcBorders>
              <w:left w:val="nil"/>
              <w:bottom w:val="nil"/>
              <w:right w:val="nil"/>
            </w:tcBorders>
            <w:shd w:val="clear" w:color="auto" w:fill="auto"/>
            <w:noWrap/>
            <w:vAlign w:val="center"/>
          </w:tcPr>
          <w:p w14:paraId="22FFBB65" w14:textId="77777777" w:rsidR="00F70E20" w:rsidRPr="002F5B60" w:rsidRDefault="00F70E20" w:rsidP="0099770F">
            <w:pPr>
              <w:jc w:val="center"/>
              <w:rPr>
                <w:sz w:val="22"/>
              </w:rPr>
            </w:pPr>
          </w:p>
        </w:tc>
        <w:tc>
          <w:tcPr>
            <w:tcW w:w="637" w:type="dxa"/>
            <w:tcBorders>
              <w:left w:val="nil"/>
              <w:bottom w:val="nil"/>
              <w:right w:val="nil"/>
            </w:tcBorders>
            <w:shd w:val="clear" w:color="auto" w:fill="auto"/>
            <w:noWrap/>
            <w:vAlign w:val="center"/>
          </w:tcPr>
          <w:p w14:paraId="47C4CA0A" w14:textId="77777777" w:rsidR="00F70E20" w:rsidRPr="002F5B60" w:rsidRDefault="00F70E20" w:rsidP="0099770F">
            <w:pPr>
              <w:jc w:val="center"/>
              <w:rPr>
                <w:sz w:val="22"/>
              </w:rPr>
            </w:pPr>
          </w:p>
        </w:tc>
        <w:tc>
          <w:tcPr>
            <w:tcW w:w="637" w:type="dxa"/>
            <w:tcBorders>
              <w:left w:val="nil"/>
              <w:bottom w:val="nil"/>
              <w:right w:val="nil"/>
            </w:tcBorders>
            <w:shd w:val="clear" w:color="auto" w:fill="auto"/>
            <w:noWrap/>
            <w:vAlign w:val="center"/>
          </w:tcPr>
          <w:p w14:paraId="6387ABE3" w14:textId="77777777" w:rsidR="00F70E20" w:rsidRPr="002F5B60" w:rsidRDefault="00F70E20" w:rsidP="0099770F">
            <w:pPr>
              <w:jc w:val="center"/>
              <w:rPr>
                <w:sz w:val="22"/>
              </w:rPr>
            </w:pPr>
          </w:p>
        </w:tc>
        <w:tc>
          <w:tcPr>
            <w:tcW w:w="637" w:type="dxa"/>
            <w:tcBorders>
              <w:left w:val="nil"/>
              <w:bottom w:val="nil"/>
              <w:right w:val="nil"/>
            </w:tcBorders>
            <w:shd w:val="clear" w:color="auto" w:fill="auto"/>
            <w:noWrap/>
            <w:vAlign w:val="center"/>
          </w:tcPr>
          <w:p w14:paraId="66D9FD87" w14:textId="77777777" w:rsidR="00F70E20" w:rsidRPr="002F5B60" w:rsidRDefault="00F70E20" w:rsidP="0099770F">
            <w:pPr>
              <w:jc w:val="center"/>
              <w:rPr>
                <w:sz w:val="22"/>
              </w:rPr>
            </w:pPr>
          </w:p>
        </w:tc>
        <w:tc>
          <w:tcPr>
            <w:tcW w:w="637" w:type="dxa"/>
            <w:tcBorders>
              <w:left w:val="nil"/>
              <w:bottom w:val="nil"/>
              <w:right w:val="nil"/>
            </w:tcBorders>
            <w:shd w:val="clear" w:color="auto" w:fill="auto"/>
            <w:noWrap/>
            <w:vAlign w:val="center"/>
          </w:tcPr>
          <w:p w14:paraId="53E00A9E" w14:textId="77777777" w:rsidR="00F70E20" w:rsidRPr="002F5B60" w:rsidRDefault="00F70E20" w:rsidP="0099770F">
            <w:pPr>
              <w:jc w:val="center"/>
              <w:rPr>
                <w:sz w:val="22"/>
              </w:rPr>
            </w:pPr>
          </w:p>
        </w:tc>
        <w:tc>
          <w:tcPr>
            <w:tcW w:w="637" w:type="dxa"/>
            <w:tcBorders>
              <w:left w:val="nil"/>
              <w:bottom w:val="nil"/>
              <w:right w:val="nil"/>
            </w:tcBorders>
            <w:shd w:val="clear" w:color="auto" w:fill="auto"/>
            <w:noWrap/>
            <w:vAlign w:val="center"/>
          </w:tcPr>
          <w:p w14:paraId="550442C9" w14:textId="77777777" w:rsidR="00F70E20" w:rsidRPr="002F5B60" w:rsidRDefault="00F70E20" w:rsidP="0099770F">
            <w:pPr>
              <w:jc w:val="center"/>
              <w:rPr>
                <w:sz w:val="22"/>
              </w:rPr>
            </w:pPr>
          </w:p>
        </w:tc>
        <w:tc>
          <w:tcPr>
            <w:tcW w:w="637" w:type="dxa"/>
            <w:tcBorders>
              <w:left w:val="nil"/>
              <w:bottom w:val="nil"/>
              <w:right w:val="nil"/>
            </w:tcBorders>
            <w:shd w:val="clear" w:color="auto" w:fill="auto"/>
            <w:noWrap/>
            <w:vAlign w:val="center"/>
          </w:tcPr>
          <w:p w14:paraId="1F830EBC" w14:textId="77777777" w:rsidR="00F70E20" w:rsidRPr="002F5B60" w:rsidRDefault="00F70E20" w:rsidP="0099770F">
            <w:pPr>
              <w:jc w:val="center"/>
              <w:rPr>
                <w:sz w:val="22"/>
              </w:rPr>
            </w:pPr>
          </w:p>
        </w:tc>
        <w:tc>
          <w:tcPr>
            <w:tcW w:w="637" w:type="dxa"/>
            <w:tcBorders>
              <w:left w:val="nil"/>
              <w:bottom w:val="nil"/>
              <w:right w:val="nil"/>
            </w:tcBorders>
            <w:shd w:val="clear" w:color="auto" w:fill="auto"/>
            <w:noWrap/>
            <w:vAlign w:val="center"/>
          </w:tcPr>
          <w:p w14:paraId="01D9037D" w14:textId="77777777" w:rsidR="00F70E20" w:rsidRPr="002F5B60" w:rsidRDefault="00F70E20" w:rsidP="0099770F">
            <w:pPr>
              <w:jc w:val="center"/>
              <w:rPr>
                <w:sz w:val="22"/>
              </w:rPr>
            </w:pPr>
          </w:p>
        </w:tc>
        <w:tc>
          <w:tcPr>
            <w:tcW w:w="637" w:type="dxa"/>
            <w:tcBorders>
              <w:left w:val="nil"/>
              <w:bottom w:val="nil"/>
              <w:right w:val="nil"/>
            </w:tcBorders>
            <w:shd w:val="clear" w:color="auto" w:fill="auto"/>
            <w:noWrap/>
            <w:vAlign w:val="center"/>
          </w:tcPr>
          <w:p w14:paraId="7D6786EE" w14:textId="77777777" w:rsidR="00F70E20" w:rsidRPr="002F5B60" w:rsidRDefault="00F70E20" w:rsidP="0099770F">
            <w:pPr>
              <w:jc w:val="center"/>
              <w:rPr>
                <w:sz w:val="22"/>
              </w:rPr>
            </w:pPr>
          </w:p>
        </w:tc>
        <w:tc>
          <w:tcPr>
            <w:tcW w:w="637" w:type="dxa"/>
            <w:tcBorders>
              <w:left w:val="nil"/>
              <w:bottom w:val="nil"/>
              <w:right w:val="nil"/>
            </w:tcBorders>
            <w:shd w:val="clear" w:color="auto" w:fill="auto"/>
            <w:noWrap/>
            <w:vAlign w:val="center"/>
          </w:tcPr>
          <w:p w14:paraId="07B06555" w14:textId="77777777" w:rsidR="00F70E20" w:rsidRPr="002F5B60" w:rsidRDefault="00F70E20" w:rsidP="0099770F">
            <w:pPr>
              <w:jc w:val="center"/>
              <w:rPr>
                <w:sz w:val="22"/>
              </w:rPr>
            </w:pPr>
          </w:p>
        </w:tc>
        <w:tc>
          <w:tcPr>
            <w:tcW w:w="637" w:type="dxa"/>
            <w:tcBorders>
              <w:left w:val="nil"/>
              <w:bottom w:val="nil"/>
              <w:right w:val="nil"/>
            </w:tcBorders>
            <w:shd w:val="clear" w:color="auto" w:fill="auto"/>
            <w:noWrap/>
            <w:vAlign w:val="center"/>
          </w:tcPr>
          <w:p w14:paraId="152C24A8" w14:textId="77777777" w:rsidR="00F70E20" w:rsidRPr="002F5B60" w:rsidRDefault="00F70E20" w:rsidP="0099770F">
            <w:pPr>
              <w:jc w:val="center"/>
              <w:rPr>
                <w:sz w:val="22"/>
              </w:rPr>
            </w:pPr>
          </w:p>
        </w:tc>
        <w:tc>
          <w:tcPr>
            <w:tcW w:w="541" w:type="dxa"/>
            <w:tcBorders>
              <w:left w:val="nil"/>
              <w:bottom w:val="nil"/>
              <w:right w:val="nil"/>
            </w:tcBorders>
            <w:vAlign w:val="center"/>
          </w:tcPr>
          <w:p w14:paraId="5986EC0A" w14:textId="77777777" w:rsidR="00F70E20" w:rsidRPr="002F5B60" w:rsidRDefault="00F70E20" w:rsidP="0099770F">
            <w:pPr>
              <w:jc w:val="center"/>
              <w:rPr>
                <w:sz w:val="22"/>
              </w:rPr>
            </w:pPr>
          </w:p>
        </w:tc>
      </w:tr>
      <w:tr w:rsidR="00F70E20" w:rsidRPr="001C5555" w14:paraId="0AD308F6" w14:textId="77777777" w:rsidTr="0099770F">
        <w:trPr>
          <w:trHeight w:val="290"/>
        </w:trPr>
        <w:tc>
          <w:tcPr>
            <w:tcW w:w="2023" w:type="dxa"/>
            <w:tcBorders>
              <w:top w:val="nil"/>
              <w:left w:val="nil"/>
              <w:bottom w:val="nil"/>
              <w:right w:val="nil"/>
            </w:tcBorders>
            <w:shd w:val="clear" w:color="auto" w:fill="auto"/>
            <w:vAlign w:val="center"/>
            <w:hideMark/>
          </w:tcPr>
          <w:p w14:paraId="0D37C34D" w14:textId="77777777" w:rsidR="00F70E20" w:rsidRPr="002F5B60" w:rsidRDefault="00F70E20" w:rsidP="0099770F">
            <w:pPr>
              <w:rPr>
                <w:color w:val="000000"/>
                <w:sz w:val="22"/>
              </w:rPr>
            </w:pPr>
            <w:r w:rsidRPr="002F5B60">
              <w:rPr>
                <w:color w:val="000000"/>
                <w:sz w:val="22"/>
              </w:rPr>
              <w:t>2. Total assets (log)</w:t>
            </w:r>
          </w:p>
        </w:tc>
        <w:tc>
          <w:tcPr>
            <w:tcW w:w="728" w:type="dxa"/>
            <w:tcBorders>
              <w:top w:val="nil"/>
              <w:left w:val="nil"/>
              <w:bottom w:val="nil"/>
              <w:right w:val="nil"/>
            </w:tcBorders>
            <w:vAlign w:val="center"/>
          </w:tcPr>
          <w:p w14:paraId="2F4C2B3A" w14:textId="77777777" w:rsidR="00F70E20" w:rsidRPr="002F5B60" w:rsidRDefault="00F70E20" w:rsidP="0099770F">
            <w:pPr>
              <w:jc w:val="center"/>
              <w:rPr>
                <w:color w:val="000000"/>
                <w:sz w:val="22"/>
                <w:szCs w:val="22"/>
              </w:rPr>
            </w:pPr>
            <w:r w:rsidRPr="002F5B60">
              <w:rPr>
                <w:color w:val="000000"/>
                <w:sz w:val="22"/>
                <w:szCs w:val="22"/>
              </w:rPr>
              <w:t>4.83</w:t>
            </w:r>
          </w:p>
        </w:tc>
        <w:tc>
          <w:tcPr>
            <w:tcW w:w="547" w:type="dxa"/>
            <w:tcBorders>
              <w:top w:val="nil"/>
              <w:left w:val="nil"/>
              <w:bottom w:val="nil"/>
              <w:right w:val="nil"/>
            </w:tcBorders>
            <w:vAlign w:val="center"/>
          </w:tcPr>
          <w:p w14:paraId="18232A23" w14:textId="77777777" w:rsidR="00F70E20" w:rsidRPr="002F5B60" w:rsidRDefault="00F70E20" w:rsidP="0099770F">
            <w:pPr>
              <w:jc w:val="center"/>
              <w:rPr>
                <w:color w:val="000000"/>
                <w:sz w:val="22"/>
                <w:szCs w:val="22"/>
              </w:rPr>
            </w:pPr>
            <w:r w:rsidRPr="002F5B60">
              <w:rPr>
                <w:color w:val="000000"/>
                <w:sz w:val="22"/>
                <w:szCs w:val="22"/>
              </w:rPr>
              <w:t>1.59</w:t>
            </w:r>
          </w:p>
        </w:tc>
        <w:tc>
          <w:tcPr>
            <w:tcW w:w="637" w:type="dxa"/>
            <w:tcBorders>
              <w:top w:val="nil"/>
              <w:left w:val="nil"/>
              <w:bottom w:val="nil"/>
              <w:right w:val="nil"/>
            </w:tcBorders>
            <w:shd w:val="clear" w:color="auto" w:fill="auto"/>
            <w:noWrap/>
            <w:vAlign w:val="center"/>
          </w:tcPr>
          <w:p w14:paraId="181440EE" w14:textId="77777777" w:rsidR="00F70E20" w:rsidRPr="002F5B60" w:rsidRDefault="00F70E20" w:rsidP="0099770F">
            <w:pPr>
              <w:jc w:val="center"/>
              <w:rPr>
                <w:color w:val="000000"/>
                <w:sz w:val="22"/>
              </w:rPr>
            </w:pPr>
            <w:r w:rsidRPr="002F5B60">
              <w:rPr>
                <w:color w:val="000000"/>
                <w:sz w:val="22"/>
                <w:szCs w:val="22"/>
              </w:rPr>
              <w:t>0.23</w:t>
            </w:r>
          </w:p>
        </w:tc>
        <w:tc>
          <w:tcPr>
            <w:tcW w:w="637" w:type="dxa"/>
            <w:tcBorders>
              <w:top w:val="nil"/>
              <w:left w:val="nil"/>
              <w:bottom w:val="nil"/>
              <w:right w:val="nil"/>
            </w:tcBorders>
            <w:shd w:val="clear" w:color="auto" w:fill="auto"/>
            <w:noWrap/>
            <w:vAlign w:val="center"/>
          </w:tcPr>
          <w:p w14:paraId="5C0BB77C" w14:textId="77777777" w:rsidR="00F70E20" w:rsidRPr="002F5B60" w:rsidRDefault="00F70E20" w:rsidP="0099770F">
            <w:pPr>
              <w:jc w:val="center"/>
              <w:rPr>
                <w:color w:val="000000"/>
                <w:sz w:val="22"/>
              </w:rPr>
            </w:pPr>
            <w:r w:rsidRPr="002F5B60">
              <w:rPr>
                <w:color w:val="000000"/>
                <w:sz w:val="22"/>
                <w:szCs w:val="22"/>
              </w:rPr>
              <w:t>1.00</w:t>
            </w:r>
          </w:p>
        </w:tc>
        <w:tc>
          <w:tcPr>
            <w:tcW w:w="637" w:type="dxa"/>
            <w:tcBorders>
              <w:top w:val="nil"/>
              <w:left w:val="nil"/>
              <w:bottom w:val="nil"/>
              <w:right w:val="nil"/>
            </w:tcBorders>
            <w:shd w:val="clear" w:color="auto" w:fill="auto"/>
            <w:noWrap/>
            <w:vAlign w:val="center"/>
          </w:tcPr>
          <w:p w14:paraId="488B05C2" w14:textId="77777777" w:rsidR="00F70E20" w:rsidRPr="002F5B60" w:rsidRDefault="00F70E20" w:rsidP="0099770F">
            <w:pPr>
              <w:jc w:val="center"/>
              <w:rPr>
                <w:color w:val="000000"/>
                <w:sz w:val="22"/>
              </w:rPr>
            </w:pPr>
          </w:p>
        </w:tc>
        <w:tc>
          <w:tcPr>
            <w:tcW w:w="637" w:type="dxa"/>
            <w:tcBorders>
              <w:top w:val="nil"/>
              <w:left w:val="nil"/>
              <w:bottom w:val="nil"/>
              <w:right w:val="nil"/>
            </w:tcBorders>
            <w:shd w:val="clear" w:color="auto" w:fill="auto"/>
            <w:noWrap/>
            <w:vAlign w:val="center"/>
          </w:tcPr>
          <w:p w14:paraId="1868CB08"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0741A66F"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7C9AB076"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55708B4A"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599C696D"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608568BE"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79101B4F"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79F4A12E"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38D848BD"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5C6B4B35"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1B311436" w14:textId="77777777" w:rsidR="00F70E20" w:rsidRPr="002F5B60" w:rsidRDefault="00F70E20" w:rsidP="0099770F">
            <w:pPr>
              <w:jc w:val="center"/>
              <w:rPr>
                <w:sz w:val="22"/>
              </w:rPr>
            </w:pPr>
          </w:p>
        </w:tc>
        <w:tc>
          <w:tcPr>
            <w:tcW w:w="541" w:type="dxa"/>
            <w:tcBorders>
              <w:top w:val="nil"/>
              <w:left w:val="nil"/>
              <w:bottom w:val="nil"/>
              <w:right w:val="nil"/>
            </w:tcBorders>
            <w:vAlign w:val="center"/>
          </w:tcPr>
          <w:p w14:paraId="44E11AEE" w14:textId="77777777" w:rsidR="00F70E20" w:rsidRPr="002F5B60" w:rsidRDefault="00F70E20" w:rsidP="0099770F">
            <w:pPr>
              <w:jc w:val="center"/>
              <w:rPr>
                <w:sz w:val="22"/>
              </w:rPr>
            </w:pPr>
          </w:p>
        </w:tc>
      </w:tr>
      <w:tr w:rsidR="00F70E20" w:rsidRPr="001C5555" w14:paraId="7072F1A8" w14:textId="77777777" w:rsidTr="0099770F">
        <w:trPr>
          <w:trHeight w:val="290"/>
        </w:trPr>
        <w:tc>
          <w:tcPr>
            <w:tcW w:w="2023" w:type="dxa"/>
            <w:tcBorders>
              <w:top w:val="nil"/>
              <w:left w:val="nil"/>
              <w:bottom w:val="nil"/>
              <w:right w:val="nil"/>
            </w:tcBorders>
            <w:shd w:val="clear" w:color="auto" w:fill="auto"/>
            <w:vAlign w:val="center"/>
            <w:hideMark/>
          </w:tcPr>
          <w:p w14:paraId="5D0B7971" w14:textId="77777777" w:rsidR="00F70E20" w:rsidRPr="002F5B60" w:rsidRDefault="00F70E20" w:rsidP="0099770F">
            <w:pPr>
              <w:rPr>
                <w:color w:val="000000"/>
                <w:sz w:val="22"/>
              </w:rPr>
            </w:pPr>
            <w:r w:rsidRPr="002F5B60">
              <w:rPr>
                <w:color w:val="000000"/>
                <w:sz w:val="22"/>
              </w:rPr>
              <w:t>3. Net income (US$ bn)</w:t>
            </w:r>
          </w:p>
        </w:tc>
        <w:tc>
          <w:tcPr>
            <w:tcW w:w="728" w:type="dxa"/>
            <w:tcBorders>
              <w:top w:val="nil"/>
              <w:left w:val="nil"/>
              <w:bottom w:val="nil"/>
              <w:right w:val="nil"/>
            </w:tcBorders>
            <w:vAlign w:val="center"/>
          </w:tcPr>
          <w:p w14:paraId="1C3EC71C" w14:textId="77777777" w:rsidR="00F70E20" w:rsidRPr="002F5B60" w:rsidRDefault="00F70E20" w:rsidP="0099770F">
            <w:pPr>
              <w:jc w:val="center"/>
              <w:rPr>
                <w:color w:val="000000"/>
                <w:sz w:val="22"/>
                <w:szCs w:val="22"/>
              </w:rPr>
            </w:pPr>
            <w:r w:rsidRPr="002F5B60">
              <w:rPr>
                <w:color w:val="000000"/>
                <w:sz w:val="22"/>
                <w:szCs w:val="22"/>
              </w:rPr>
              <w:t>-0.02</w:t>
            </w:r>
          </w:p>
        </w:tc>
        <w:tc>
          <w:tcPr>
            <w:tcW w:w="547" w:type="dxa"/>
            <w:tcBorders>
              <w:top w:val="nil"/>
              <w:left w:val="nil"/>
              <w:bottom w:val="nil"/>
              <w:right w:val="nil"/>
            </w:tcBorders>
            <w:vAlign w:val="center"/>
          </w:tcPr>
          <w:p w14:paraId="2F693598" w14:textId="77777777" w:rsidR="00F70E20" w:rsidRPr="002F5B60" w:rsidRDefault="00F70E20" w:rsidP="0099770F">
            <w:pPr>
              <w:jc w:val="center"/>
              <w:rPr>
                <w:color w:val="000000"/>
                <w:sz w:val="22"/>
                <w:szCs w:val="22"/>
              </w:rPr>
            </w:pPr>
            <w:r w:rsidRPr="002F5B60">
              <w:rPr>
                <w:color w:val="000000"/>
                <w:sz w:val="22"/>
                <w:szCs w:val="22"/>
              </w:rPr>
              <w:t>0.15</w:t>
            </w:r>
          </w:p>
        </w:tc>
        <w:tc>
          <w:tcPr>
            <w:tcW w:w="637" w:type="dxa"/>
            <w:tcBorders>
              <w:top w:val="nil"/>
              <w:left w:val="nil"/>
              <w:bottom w:val="nil"/>
              <w:right w:val="nil"/>
            </w:tcBorders>
            <w:shd w:val="clear" w:color="auto" w:fill="auto"/>
            <w:noWrap/>
            <w:vAlign w:val="center"/>
          </w:tcPr>
          <w:p w14:paraId="7239D970" w14:textId="77777777" w:rsidR="00F70E20" w:rsidRPr="002F5B60" w:rsidRDefault="00F70E20" w:rsidP="0099770F">
            <w:pPr>
              <w:jc w:val="center"/>
              <w:rPr>
                <w:color w:val="000000"/>
                <w:sz w:val="22"/>
              </w:rPr>
            </w:pPr>
            <w:r w:rsidRPr="002F5B60">
              <w:rPr>
                <w:color w:val="000000"/>
                <w:sz w:val="22"/>
                <w:szCs w:val="22"/>
              </w:rPr>
              <w:t>0.16</w:t>
            </w:r>
          </w:p>
        </w:tc>
        <w:tc>
          <w:tcPr>
            <w:tcW w:w="637" w:type="dxa"/>
            <w:tcBorders>
              <w:top w:val="nil"/>
              <w:left w:val="nil"/>
              <w:bottom w:val="nil"/>
              <w:right w:val="nil"/>
            </w:tcBorders>
            <w:shd w:val="clear" w:color="auto" w:fill="auto"/>
            <w:noWrap/>
            <w:vAlign w:val="center"/>
          </w:tcPr>
          <w:p w14:paraId="305799FF" w14:textId="77777777" w:rsidR="00F70E20" w:rsidRPr="002F5B60" w:rsidRDefault="00F70E20" w:rsidP="0099770F">
            <w:pPr>
              <w:jc w:val="center"/>
              <w:rPr>
                <w:color w:val="000000"/>
                <w:sz w:val="22"/>
              </w:rPr>
            </w:pPr>
            <w:r w:rsidRPr="002F5B60">
              <w:rPr>
                <w:color w:val="000000"/>
                <w:sz w:val="22"/>
                <w:szCs w:val="22"/>
              </w:rPr>
              <w:t>0.07</w:t>
            </w:r>
          </w:p>
        </w:tc>
        <w:tc>
          <w:tcPr>
            <w:tcW w:w="637" w:type="dxa"/>
            <w:tcBorders>
              <w:top w:val="nil"/>
              <w:left w:val="nil"/>
              <w:bottom w:val="nil"/>
              <w:right w:val="nil"/>
            </w:tcBorders>
            <w:shd w:val="clear" w:color="auto" w:fill="auto"/>
            <w:noWrap/>
            <w:vAlign w:val="center"/>
          </w:tcPr>
          <w:p w14:paraId="2BBB8C4D" w14:textId="77777777" w:rsidR="00F70E20" w:rsidRPr="002F5B60" w:rsidRDefault="00F70E20" w:rsidP="0099770F">
            <w:pPr>
              <w:jc w:val="center"/>
              <w:rPr>
                <w:color w:val="000000"/>
                <w:sz w:val="22"/>
              </w:rPr>
            </w:pPr>
            <w:r w:rsidRPr="002F5B60">
              <w:rPr>
                <w:color w:val="000000"/>
                <w:sz w:val="22"/>
                <w:szCs w:val="22"/>
              </w:rPr>
              <w:t>1.00</w:t>
            </w:r>
          </w:p>
        </w:tc>
        <w:tc>
          <w:tcPr>
            <w:tcW w:w="637" w:type="dxa"/>
            <w:tcBorders>
              <w:top w:val="nil"/>
              <w:left w:val="nil"/>
              <w:bottom w:val="nil"/>
              <w:right w:val="nil"/>
            </w:tcBorders>
            <w:shd w:val="clear" w:color="auto" w:fill="auto"/>
            <w:noWrap/>
            <w:vAlign w:val="center"/>
          </w:tcPr>
          <w:p w14:paraId="55023672" w14:textId="77777777" w:rsidR="00F70E20" w:rsidRPr="002F5B60" w:rsidRDefault="00F70E20" w:rsidP="0099770F">
            <w:pPr>
              <w:jc w:val="center"/>
              <w:rPr>
                <w:color w:val="000000"/>
                <w:sz w:val="22"/>
              </w:rPr>
            </w:pPr>
          </w:p>
        </w:tc>
        <w:tc>
          <w:tcPr>
            <w:tcW w:w="637" w:type="dxa"/>
            <w:tcBorders>
              <w:top w:val="nil"/>
              <w:left w:val="nil"/>
              <w:bottom w:val="nil"/>
              <w:right w:val="nil"/>
            </w:tcBorders>
            <w:shd w:val="clear" w:color="auto" w:fill="auto"/>
            <w:noWrap/>
            <w:vAlign w:val="center"/>
          </w:tcPr>
          <w:p w14:paraId="50EF9066"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118382DB"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7D3FD150"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144DEE64"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0CBF1D6A"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1AD82FFF"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72B5FDDC"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4AD8D1EA"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7AF9D48C"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5D5BF731" w14:textId="77777777" w:rsidR="00F70E20" w:rsidRPr="002F5B60" w:rsidRDefault="00F70E20" w:rsidP="0099770F">
            <w:pPr>
              <w:jc w:val="center"/>
              <w:rPr>
                <w:sz w:val="22"/>
              </w:rPr>
            </w:pPr>
          </w:p>
        </w:tc>
        <w:tc>
          <w:tcPr>
            <w:tcW w:w="541" w:type="dxa"/>
            <w:tcBorders>
              <w:top w:val="nil"/>
              <w:left w:val="nil"/>
              <w:bottom w:val="nil"/>
              <w:right w:val="nil"/>
            </w:tcBorders>
            <w:vAlign w:val="center"/>
          </w:tcPr>
          <w:p w14:paraId="2C270837" w14:textId="77777777" w:rsidR="00F70E20" w:rsidRPr="002F5B60" w:rsidRDefault="00F70E20" w:rsidP="0099770F">
            <w:pPr>
              <w:jc w:val="center"/>
              <w:rPr>
                <w:sz w:val="22"/>
              </w:rPr>
            </w:pPr>
          </w:p>
        </w:tc>
      </w:tr>
      <w:tr w:rsidR="00F70E20" w:rsidRPr="001C5555" w14:paraId="55B602D9" w14:textId="77777777" w:rsidTr="0099770F">
        <w:trPr>
          <w:trHeight w:val="290"/>
        </w:trPr>
        <w:tc>
          <w:tcPr>
            <w:tcW w:w="2023" w:type="dxa"/>
            <w:tcBorders>
              <w:top w:val="nil"/>
              <w:left w:val="nil"/>
              <w:bottom w:val="nil"/>
              <w:right w:val="nil"/>
            </w:tcBorders>
            <w:shd w:val="clear" w:color="auto" w:fill="auto"/>
            <w:vAlign w:val="center"/>
            <w:hideMark/>
          </w:tcPr>
          <w:p w14:paraId="04ADA568" w14:textId="77777777" w:rsidR="00F70E20" w:rsidRPr="002F5B60" w:rsidRDefault="00F70E20" w:rsidP="0099770F">
            <w:pPr>
              <w:rPr>
                <w:color w:val="000000"/>
                <w:sz w:val="22"/>
              </w:rPr>
            </w:pPr>
            <w:r w:rsidRPr="002F5B60">
              <w:rPr>
                <w:color w:val="000000"/>
                <w:sz w:val="22"/>
              </w:rPr>
              <w:t>4. Age at IPO</w:t>
            </w:r>
          </w:p>
        </w:tc>
        <w:tc>
          <w:tcPr>
            <w:tcW w:w="728" w:type="dxa"/>
            <w:tcBorders>
              <w:top w:val="nil"/>
              <w:left w:val="nil"/>
              <w:bottom w:val="nil"/>
              <w:right w:val="nil"/>
            </w:tcBorders>
            <w:vAlign w:val="center"/>
          </w:tcPr>
          <w:p w14:paraId="14AF4580" w14:textId="77777777" w:rsidR="00F70E20" w:rsidRPr="002F5B60" w:rsidRDefault="00F70E20" w:rsidP="0099770F">
            <w:pPr>
              <w:jc w:val="center"/>
              <w:rPr>
                <w:color w:val="000000"/>
                <w:sz w:val="22"/>
                <w:szCs w:val="22"/>
              </w:rPr>
            </w:pPr>
            <w:r w:rsidRPr="002F5B60">
              <w:rPr>
                <w:color w:val="000000"/>
                <w:sz w:val="22"/>
                <w:szCs w:val="22"/>
              </w:rPr>
              <w:t>9.04</w:t>
            </w:r>
          </w:p>
        </w:tc>
        <w:tc>
          <w:tcPr>
            <w:tcW w:w="547" w:type="dxa"/>
            <w:tcBorders>
              <w:top w:val="nil"/>
              <w:left w:val="nil"/>
              <w:bottom w:val="nil"/>
              <w:right w:val="nil"/>
            </w:tcBorders>
            <w:vAlign w:val="center"/>
          </w:tcPr>
          <w:p w14:paraId="2309F440" w14:textId="77777777" w:rsidR="00F70E20" w:rsidRPr="002F5B60" w:rsidRDefault="00F70E20" w:rsidP="0099770F">
            <w:pPr>
              <w:jc w:val="center"/>
              <w:rPr>
                <w:color w:val="000000"/>
                <w:sz w:val="22"/>
                <w:szCs w:val="22"/>
              </w:rPr>
            </w:pPr>
            <w:r w:rsidRPr="002F5B60">
              <w:rPr>
                <w:color w:val="000000"/>
                <w:sz w:val="22"/>
                <w:szCs w:val="22"/>
              </w:rPr>
              <w:t>3.33</w:t>
            </w:r>
          </w:p>
        </w:tc>
        <w:tc>
          <w:tcPr>
            <w:tcW w:w="637" w:type="dxa"/>
            <w:tcBorders>
              <w:top w:val="nil"/>
              <w:left w:val="nil"/>
              <w:bottom w:val="nil"/>
              <w:right w:val="nil"/>
            </w:tcBorders>
            <w:shd w:val="clear" w:color="auto" w:fill="auto"/>
            <w:noWrap/>
            <w:vAlign w:val="center"/>
          </w:tcPr>
          <w:p w14:paraId="4FEC104B" w14:textId="77777777" w:rsidR="00F70E20" w:rsidRPr="002F5B60" w:rsidRDefault="00F70E20" w:rsidP="0099770F">
            <w:pPr>
              <w:jc w:val="center"/>
              <w:rPr>
                <w:color w:val="000000"/>
                <w:sz w:val="22"/>
              </w:rPr>
            </w:pPr>
            <w:r w:rsidRPr="002F5B60">
              <w:rPr>
                <w:color w:val="000000"/>
                <w:sz w:val="22"/>
                <w:szCs w:val="22"/>
              </w:rPr>
              <w:t>0.05</w:t>
            </w:r>
          </w:p>
        </w:tc>
        <w:tc>
          <w:tcPr>
            <w:tcW w:w="637" w:type="dxa"/>
            <w:tcBorders>
              <w:top w:val="nil"/>
              <w:left w:val="nil"/>
              <w:bottom w:val="nil"/>
              <w:right w:val="nil"/>
            </w:tcBorders>
            <w:shd w:val="clear" w:color="auto" w:fill="auto"/>
            <w:noWrap/>
            <w:vAlign w:val="center"/>
          </w:tcPr>
          <w:p w14:paraId="2E39ED4E" w14:textId="77777777" w:rsidR="00F70E20" w:rsidRPr="002F5B60" w:rsidRDefault="00F70E20" w:rsidP="0099770F">
            <w:pPr>
              <w:jc w:val="center"/>
              <w:rPr>
                <w:color w:val="000000"/>
                <w:sz w:val="22"/>
              </w:rPr>
            </w:pPr>
            <w:r w:rsidRPr="002F5B60">
              <w:rPr>
                <w:color w:val="000000"/>
                <w:sz w:val="22"/>
                <w:szCs w:val="22"/>
              </w:rPr>
              <w:t>0.05</w:t>
            </w:r>
          </w:p>
        </w:tc>
        <w:tc>
          <w:tcPr>
            <w:tcW w:w="637" w:type="dxa"/>
            <w:tcBorders>
              <w:top w:val="nil"/>
              <w:left w:val="nil"/>
              <w:bottom w:val="nil"/>
              <w:right w:val="nil"/>
            </w:tcBorders>
            <w:shd w:val="clear" w:color="auto" w:fill="auto"/>
            <w:noWrap/>
            <w:vAlign w:val="center"/>
          </w:tcPr>
          <w:p w14:paraId="7F519DED" w14:textId="77777777" w:rsidR="00F70E20" w:rsidRPr="002F5B60" w:rsidRDefault="00F70E20" w:rsidP="0099770F">
            <w:pPr>
              <w:jc w:val="center"/>
              <w:rPr>
                <w:color w:val="000000"/>
                <w:sz w:val="22"/>
              </w:rPr>
            </w:pPr>
            <w:r w:rsidRPr="002F5B60">
              <w:rPr>
                <w:color w:val="000000"/>
                <w:sz w:val="22"/>
                <w:szCs w:val="22"/>
              </w:rPr>
              <w:t>0.07</w:t>
            </w:r>
          </w:p>
        </w:tc>
        <w:tc>
          <w:tcPr>
            <w:tcW w:w="637" w:type="dxa"/>
            <w:tcBorders>
              <w:top w:val="nil"/>
              <w:left w:val="nil"/>
              <w:bottom w:val="nil"/>
              <w:right w:val="nil"/>
            </w:tcBorders>
            <w:shd w:val="clear" w:color="auto" w:fill="auto"/>
            <w:noWrap/>
            <w:vAlign w:val="center"/>
          </w:tcPr>
          <w:p w14:paraId="79249012" w14:textId="77777777" w:rsidR="00F70E20" w:rsidRPr="002F5B60" w:rsidRDefault="00F70E20" w:rsidP="0099770F">
            <w:pPr>
              <w:jc w:val="center"/>
              <w:rPr>
                <w:color w:val="000000"/>
                <w:sz w:val="22"/>
              </w:rPr>
            </w:pPr>
            <w:r w:rsidRPr="002F5B60">
              <w:rPr>
                <w:color w:val="000000"/>
                <w:sz w:val="22"/>
                <w:szCs w:val="22"/>
              </w:rPr>
              <w:t>1.00</w:t>
            </w:r>
          </w:p>
        </w:tc>
        <w:tc>
          <w:tcPr>
            <w:tcW w:w="637" w:type="dxa"/>
            <w:tcBorders>
              <w:top w:val="nil"/>
              <w:left w:val="nil"/>
              <w:bottom w:val="nil"/>
              <w:right w:val="nil"/>
            </w:tcBorders>
            <w:shd w:val="clear" w:color="auto" w:fill="auto"/>
            <w:noWrap/>
            <w:vAlign w:val="center"/>
          </w:tcPr>
          <w:p w14:paraId="0AB7EFDD" w14:textId="77777777" w:rsidR="00F70E20" w:rsidRPr="002F5B60" w:rsidRDefault="00F70E20" w:rsidP="0099770F">
            <w:pPr>
              <w:jc w:val="center"/>
              <w:rPr>
                <w:color w:val="000000"/>
                <w:sz w:val="22"/>
              </w:rPr>
            </w:pPr>
          </w:p>
        </w:tc>
        <w:tc>
          <w:tcPr>
            <w:tcW w:w="637" w:type="dxa"/>
            <w:tcBorders>
              <w:top w:val="nil"/>
              <w:left w:val="nil"/>
              <w:bottom w:val="nil"/>
              <w:right w:val="nil"/>
            </w:tcBorders>
            <w:shd w:val="clear" w:color="auto" w:fill="auto"/>
            <w:noWrap/>
            <w:vAlign w:val="center"/>
          </w:tcPr>
          <w:p w14:paraId="4D79A55C"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4EC99D7A"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27AB301B"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6D614D07"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48D501D9"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2EB4C8DC"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688A7065"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2206AFAE"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758E69A5" w14:textId="77777777" w:rsidR="00F70E20" w:rsidRPr="002F5B60" w:rsidRDefault="00F70E20" w:rsidP="0099770F">
            <w:pPr>
              <w:jc w:val="center"/>
              <w:rPr>
                <w:sz w:val="22"/>
              </w:rPr>
            </w:pPr>
          </w:p>
        </w:tc>
        <w:tc>
          <w:tcPr>
            <w:tcW w:w="541" w:type="dxa"/>
            <w:tcBorders>
              <w:top w:val="nil"/>
              <w:left w:val="nil"/>
              <w:bottom w:val="nil"/>
              <w:right w:val="nil"/>
            </w:tcBorders>
            <w:vAlign w:val="center"/>
          </w:tcPr>
          <w:p w14:paraId="7377CB0F" w14:textId="77777777" w:rsidR="00F70E20" w:rsidRPr="002F5B60" w:rsidRDefault="00F70E20" w:rsidP="0099770F">
            <w:pPr>
              <w:jc w:val="center"/>
              <w:rPr>
                <w:sz w:val="22"/>
              </w:rPr>
            </w:pPr>
          </w:p>
        </w:tc>
      </w:tr>
      <w:tr w:rsidR="00F70E20" w:rsidRPr="001C5555" w14:paraId="5FD33379" w14:textId="77777777" w:rsidTr="0099770F">
        <w:trPr>
          <w:trHeight w:val="290"/>
        </w:trPr>
        <w:tc>
          <w:tcPr>
            <w:tcW w:w="2023" w:type="dxa"/>
            <w:tcBorders>
              <w:top w:val="nil"/>
              <w:left w:val="nil"/>
              <w:bottom w:val="nil"/>
              <w:right w:val="nil"/>
            </w:tcBorders>
            <w:shd w:val="clear" w:color="auto" w:fill="auto"/>
            <w:vAlign w:val="center"/>
            <w:hideMark/>
          </w:tcPr>
          <w:p w14:paraId="4298172C" w14:textId="77777777" w:rsidR="00F70E20" w:rsidRPr="002F5B60" w:rsidRDefault="00F70E20" w:rsidP="0099770F">
            <w:pPr>
              <w:rPr>
                <w:color w:val="000000"/>
                <w:sz w:val="22"/>
              </w:rPr>
            </w:pPr>
            <w:r w:rsidRPr="002F5B60">
              <w:rPr>
                <w:color w:val="000000"/>
                <w:sz w:val="22"/>
              </w:rPr>
              <w:t>5. IPO year</w:t>
            </w:r>
          </w:p>
        </w:tc>
        <w:tc>
          <w:tcPr>
            <w:tcW w:w="728" w:type="dxa"/>
            <w:tcBorders>
              <w:top w:val="nil"/>
              <w:left w:val="nil"/>
              <w:bottom w:val="nil"/>
              <w:right w:val="nil"/>
            </w:tcBorders>
            <w:vAlign w:val="center"/>
          </w:tcPr>
          <w:p w14:paraId="5FBDD2BE" w14:textId="77777777" w:rsidR="00F70E20" w:rsidRPr="002F5B60" w:rsidRDefault="00F70E20" w:rsidP="0099770F">
            <w:pPr>
              <w:jc w:val="center"/>
              <w:rPr>
                <w:color w:val="000000"/>
                <w:sz w:val="22"/>
                <w:szCs w:val="22"/>
              </w:rPr>
            </w:pPr>
            <w:r w:rsidRPr="002F5B60">
              <w:rPr>
                <w:color w:val="000000"/>
                <w:sz w:val="22"/>
                <w:szCs w:val="22"/>
              </w:rPr>
              <w:t>201</w:t>
            </w:r>
            <w:r>
              <w:rPr>
                <w:color w:val="000000"/>
                <w:sz w:val="22"/>
                <w:szCs w:val="22"/>
              </w:rPr>
              <w:t>5</w:t>
            </w:r>
          </w:p>
        </w:tc>
        <w:tc>
          <w:tcPr>
            <w:tcW w:w="547" w:type="dxa"/>
            <w:tcBorders>
              <w:top w:val="nil"/>
              <w:left w:val="nil"/>
              <w:bottom w:val="nil"/>
              <w:right w:val="nil"/>
            </w:tcBorders>
            <w:vAlign w:val="center"/>
          </w:tcPr>
          <w:p w14:paraId="104AA21C" w14:textId="77777777" w:rsidR="00F70E20" w:rsidRPr="002F5B60" w:rsidRDefault="00F70E20" w:rsidP="0099770F">
            <w:pPr>
              <w:jc w:val="center"/>
              <w:rPr>
                <w:color w:val="000000"/>
                <w:sz w:val="22"/>
                <w:szCs w:val="22"/>
              </w:rPr>
            </w:pPr>
            <w:r w:rsidRPr="002F5B60">
              <w:rPr>
                <w:color w:val="000000"/>
                <w:sz w:val="22"/>
                <w:szCs w:val="22"/>
              </w:rPr>
              <w:t>2.59</w:t>
            </w:r>
          </w:p>
        </w:tc>
        <w:tc>
          <w:tcPr>
            <w:tcW w:w="637" w:type="dxa"/>
            <w:tcBorders>
              <w:top w:val="nil"/>
              <w:left w:val="nil"/>
              <w:bottom w:val="nil"/>
              <w:right w:val="nil"/>
            </w:tcBorders>
            <w:shd w:val="clear" w:color="auto" w:fill="auto"/>
            <w:noWrap/>
            <w:vAlign w:val="center"/>
          </w:tcPr>
          <w:p w14:paraId="1A39D2E8" w14:textId="77777777" w:rsidR="00F70E20" w:rsidRPr="002F5B60" w:rsidRDefault="00F70E20" w:rsidP="0099770F">
            <w:pPr>
              <w:jc w:val="center"/>
              <w:rPr>
                <w:color w:val="000000"/>
                <w:sz w:val="22"/>
              </w:rPr>
            </w:pPr>
            <w:r w:rsidRPr="002F5B60">
              <w:rPr>
                <w:color w:val="000000"/>
                <w:sz w:val="22"/>
                <w:szCs w:val="22"/>
              </w:rPr>
              <w:t>-0.04</w:t>
            </w:r>
          </w:p>
        </w:tc>
        <w:tc>
          <w:tcPr>
            <w:tcW w:w="637" w:type="dxa"/>
            <w:tcBorders>
              <w:top w:val="nil"/>
              <w:left w:val="nil"/>
              <w:bottom w:val="nil"/>
              <w:right w:val="nil"/>
            </w:tcBorders>
            <w:shd w:val="clear" w:color="auto" w:fill="auto"/>
            <w:noWrap/>
            <w:vAlign w:val="center"/>
          </w:tcPr>
          <w:p w14:paraId="375CD3BE" w14:textId="77777777" w:rsidR="00F70E20" w:rsidRPr="002F5B60" w:rsidRDefault="00F70E20" w:rsidP="0099770F">
            <w:pPr>
              <w:jc w:val="center"/>
              <w:rPr>
                <w:color w:val="000000"/>
                <w:sz w:val="22"/>
              </w:rPr>
            </w:pPr>
            <w:r w:rsidRPr="002F5B60">
              <w:rPr>
                <w:color w:val="000000"/>
                <w:sz w:val="22"/>
                <w:szCs w:val="22"/>
              </w:rPr>
              <w:t>0.28</w:t>
            </w:r>
          </w:p>
        </w:tc>
        <w:tc>
          <w:tcPr>
            <w:tcW w:w="637" w:type="dxa"/>
            <w:tcBorders>
              <w:top w:val="nil"/>
              <w:left w:val="nil"/>
              <w:bottom w:val="nil"/>
              <w:right w:val="nil"/>
            </w:tcBorders>
            <w:shd w:val="clear" w:color="auto" w:fill="auto"/>
            <w:noWrap/>
            <w:vAlign w:val="center"/>
          </w:tcPr>
          <w:p w14:paraId="7F33E21B" w14:textId="77777777" w:rsidR="00F70E20" w:rsidRPr="002F5B60" w:rsidRDefault="00F70E20" w:rsidP="0099770F">
            <w:pPr>
              <w:jc w:val="center"/>
              <w:rPr>
                <w:color w:val="000000"/>
                <w:sz w:val="22"/>
              </w:rPr>
            </w:pPr>
            <w:r w:rsidRPr="002F5B60">
              <w:rPr>
                <w:color w:val="000000"/>
                <w:sz w:val="22"/>
                <w:szCs w:val="22"/>
              </w:rPr>
              <w:t>-0.15</w:t>
            </w:r>
          </w:p>
        </w:tc>
        <w:tc>
          <w:tcPr>
            <w:tcW w:w="637" w:type="dxa"/>
            <w:tcBorders>
              <w:top w:val="nil"/>
              <w:left w:val="nil"/>
              <w:bottom w:val="nil"/>
              <w:right w:val="nil"/>
            </w:tcBorders>
            <w:shd w:val="clear" w:color="auto" w:fill="auto"/>
            <w:noWrap/>
            <w:vAlign w:val="center"/>
          </w:tcPr>
          <w:p w14:paraId="04762DF5" w14:textId="77777777" w:rsidR="00F70E20" w:rsidRPr="002F5B60" w:rsidRDefault="00F70E20" w:rsidP="0099770F">
            <w:pPr>
              <w:jc w:val="center"/>
              <w:rPr>
                <w:color w:val="000000"/>
                <w:sz w:val="22"/>
              </w:rPr>
            </w:pPr>
            <w:r w:rsidRPr="002F5B60">
              <w:rPr>
                <w:color w:val="000000"/>
                <w:sz w:val="22"/>
                <w:szCs w:val="22"/>
              </w:rPr>
              <w:t>0.27</w:t>
            </w:r>
          </w:p>
        </w:tc>
        <w:tc>
          <w:tcPr>
            <w:tcW w:w="637" w:type="dxa"/>
            <w:tcBorders>
              <w:top w:val="nil"/>
              <w:left w:val="nil"/>
              <w:bottom w:val="nil"/>
              <w:right w:val="nil"/>
            </w:tcBorders>
            <w:shd w:val="clear" w:color="auto" w:fill="auto"/>
            <w:noWrap/>
            <w:vAlign w:val="center"/>
          </w:tcPr>
          <w:p w14:paraId="44CDC521" w14:textId="77777777" w:rsidR="00F70E20" w:rsidRPr="002F5B60" w:rsidRDefault="00F70E20" w:rsidP="0099770F">
            <w:pPr>
              <w:jc w:val="center"/>
              <w:rPr>
                <w:color w:val="000000"/>
                <w:sz w:val="22"/>
              </w:rPr>
            </w:pPr>
            <w:r w:rsidRPr="002F5B60">
              <w:rPr>
                <w:color w:val="000000"/>
                <w:sz w:val="22"/>
                <w:szCs w:val="22"/>
              </w:rPr>
              <w:t>1.00</w:t>
            </w:r>
          </w:p>
        </w:tc>
        <w:tc>
          <w:tcPr>
            <w:tcW w:w="637" w:type="dxa"/>
            <w:tcBorders>
              <w:top w:val="nil"/>
              <w:left w:val="nil"/>
              <w:bottom w:val="nil"/>
              <w:right w:val="nil"/>
            </w:tcBorders>
            <w:shd w:val="clear" w:color="auto" w:fill="auto"/>
            <w:noWrap/>
            <w:vAlign w:val="center"/>
          </w:tcPr>
          <w:p w14:paraId="25105483" w14:textId="77777777" w:rsidR="00F70E20" w:rsidRPr="002F5B60" w:rsidRDefault="00F70E20" w:rsidP="0099770F">
            <w:pPr>
              <w:jc w:val="center"/>
              <w:rPr>
                <w:color w:val="000000"/>
                <w:sz w:val="22"/>
              </w:rPr>
            </w:pPr>
          </w:p>
        </w:tc>
        <w:tc>
          <w:tcPr>
            <w:tcW w:w="637" w:type="dxa"/>
            <w:tcBorders>
              <w:top w:val="nil"/>
              <w:left w:val="nil"/>
              <w:bottom w:val="nil"/>
              <w:right w:val="nil"/>
            </w:tcBorders>
            <w:shd w:val="clear" w:color="auto" w:fill="auto"/>
            <w:noWrap/>
            <w:vAlign w:val="center"/>
          </w:tcPr>
          <w:p w14:paraId="7E86F10A"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19DA0977"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5CA9E562"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7CD1C18E"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15FB6671"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6895A848"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5065CAF1"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6C2751E5" w14:textId="77777777" w:rsidR="00F70E20" w:rsidRPr="002F5B60" w:rsidRDefault="00F70E20" w:rsidP="0099770F">
            <w:pPr>
              <w:jc w:val="center"/>
              <w:rPr>
                <w:sz w:val="22"/>
              </w:rPr>
            </w:pPr>
          </w:p>
        </w:tc>
        <w:tc>
          <w:tcPr>
            <w:tcW w:w="541" w:type="dxa"/>
            <w:tcBorders>
              <w:top w:val="nil"/>
              <w:left w:val="nil"/>
              <w:bottom w:val="nil"/>
              <w:right w:val="nil"/>
            </w:tcBorders>
            <w:vAlign w:val="center"/>
          </w:tcPr>
          <w:p w14:paraId="3B7DAFEF" w14:textId="77777777" w:rsidR="00F70E20" w:rsidRPr="002F5B60" w:rsidRDefault="00F70E20" w:rsidP="0099770F">
            <w:pPr>
              <w:jc w:val="center"/>
              <w:rPr>
                <w:sz w:val="22"/>
              </w:rPr>
            </w:pPr>
          </w:p>
        </w:tc>
      </w:tr>
      <w:tr w:rsidR="00F70E20" w:rsidRPr="001C5555" w14:paraId="77DE46A8" w14:textId="77777777" w:rsidTr="0099770F">
        <w:trPr>
          <w:trHeight w:val="290"/>
        </w:trPr>
        <w:tc>
          <w:tcPr>
            <w:tcW w:w="2023" w:type="dxa"/>
            <w:tcBorders>
              <w:top w:val="nil"/>
              <w:left w:val="nil"/>
              <w:bottom w:val="nil"/>
              <w:right w:val="nil"/>
            </w:tcBorders>
            <w:shd w:val="clear" w:color="auto" w:fill="auto"/>
            <w:vAlign w:val="center"/>
            <w:hideMark/>
          </w:tcPr>
          <w:p w14:paraId="446A8605" w14:textId="77777777" w:rsidR="00F70E20" w:rsidRPr="002F5B60" w:rsidRDefault="00F70E20" w:rsidP="0099770F">
            <w:pPr>
              <w:rPr>
                <w:color w:val="000000"/>
                <w:sz w:val="22"/>
              </w:rPr>
            </w:pPr>
            <w:r w:rsidRPr="002F5B60">
              <w:rPr>
                <w:color w:val="000000"/>
                <w:sz w:val="22"/>
              </w:rPr>
              <w:t>6. Acquisitions</w:t>
            </w:r>
          </w:p>
        </w:tc>
        <w:tc>
          <w:tcPr>
            <w:tcW w:w="728" w:type="dxa"/>
            <w:tcBorders>
              <w:top w:val="nil"/>
              <w:left w:val="nil"/>
              <w:bottom w:val="nil"/>
              <w:right w:val="nil"/>
            </w:tcBorders>
            <w:vAlign w:val="center"/>
          </w:tcPr>
          <w:p w14:paraId="45A43838" w14:textId="77777777" w:rsidR="00F70E20" w:rsidRPr="002F5B60" w:rsidRDefault="00F70E20" w:rsidP="0099770F">
            <w:pPr>
              <w:jc w:val="center"/>
              <w:rPr>
                <w:color w:val="000000"/>
                <w:sz w:val="22"/>
                <w:szCs w:val="22"/>
              </w:rPr>
            </w:pPr>
            <w:r w:rsidRPr="002F5B60">
              <w:rPr>
                <w:color w:val="000000"/>
                <w:sz w:val="22"/>
                <w:szCs w:val="22"/>
              </w:rPr>
              <w:t>0.28</w:t>
            </w:r>
          </w:p>
        </w:tc>
        <w:tc>
          <w:tcPr>
            <w:tcW w:w="547" w:type="dxa"/>
            <w:tcBorders>
              <w:top w:val="nil"/>
              <w:left w:val="nil"/>
              <w:bottom w:val="nil"/>
              <w:right w:val="nil"/>
            </w:tcBorders>
            <w:vAlign w:val="center"/>
          </w:tcPr>
          <w:p w14:paraId="480DA458" w14:textId="77777777" w:rsidR="00F70E20" w:rsidRPr="002F5B60" w:rsidRDefault="00F70E20" w:rsidP="0099770F">
            <w:pPr>
              <w:jc w:val="center"/>
              <w:rPr>
                <w:color w:val="000000"/>
                <w:sz w:val="22"/>
                <w:szCs w:val="22"/>
              </w:rPr>
            </w:pPr>
            <w:r w:rsidRPr="002F5B60">
              <w:rPr>
                <w:color w:val="000000"/>
                <w:sz w:val="22"/>
                <w:szCs w:val="22"/>
              </w:rPr>
              <w:t>0.45</w:t>
            </w:r>
          </w:p>
        </w:tc>
        <w:tc>
          <w:tcPr>
            <w:tcW w:w="637" w:type="dxa"/>
            <w:tcBorders>
              <w:top w:val="nil"/>
              <w:left w:val="nil"/>
              <w:bottom w:val="nil"/>
              <w:right w:val="nil"/>
            </w:tcBorders>
            <w:shd w:val="clear" w:color="auto" w:fill="auto"/>
            <w:noWrap/>
            <w:vAlign w:val="center"/>
          </w:tcPr>
          <w:p w14:paraId="4E66A24E" w14:textId="77777777" w:rsidR="00F70E20" w:rsidRPr="002F5B60" w:rsidRDefault="00F70E20" w:rsidP="0099770F">
            <w:pPr>
              <w:jc w:val="center"/>
              <w:rPr>
                <w:color w:val="000000"/>
                <w:sz w:val="22"/>
              </w:rPr>
            </w:pPr>
            <w:r w:rsidRPr="002F5B60">
              <w:rPr>
                <w:color w:val="000000"/>
                <w:sz w:val="22"/>
                <w:szCs w:val="22"/>
              </w:rPr>
              <w:t>0.16</w:t>
            </w:r>
          </w:p>
        </w:tc>
        <w:tc>
          <w:tcPr>
            <w:tcW w:w="637" w:type="dxa"/>
            <w:tcBorders>
              <w:top w:val="nil"/>
              <w:left w:val="nil"/>
              <w:bottom w:val="nil"/>
              <w:right w:val="nil"/>
            </w:tcBorders>
            <w:shd w:val="clear" w:color="auto" w:fill="auto"/>
            <w:noWrap/>
            <w:vAlign w:val="center"/>
          </w:tcPr>
          <w:p w14:paraId="526D581C" w14:textId="77777777" w:rsidR="00F70E20" w:rsidRPr="002F5B60" w:rsidRDefault="00F70E20" w:rsidP="0099770F">
            <w:pPr>
              <w:jc w:val="center"/>
              <w:rPr>
                <w:color w:val="000000"/>
                <w:sz w:val="22"/>
              </w:rPr>
            </w:pPr>
            <w:r w:rsidRPr="002F5B60">
              <w:rPr>
                <w:color w:val="000000"/>
                <w:sz w:val="22"/>
                <w:szCs w:val="22"/>
              </w:rPr>
              <w:t>0.41</w:t>
            </w:r>
          </w:p>
        </w:tc>
        <w:tc>
          <w:tcPr>
            <w:tcW w:w="637" w:type="dxa"/>
            <w:tcBorders>
              <w:top w:val="nil"/>
              <w:left w:val="nil"/>
              <w:bottom w:val="nil"/>
              <w:right w:val="nil"/>
            </w:tcBorders>
            <w:shd w:val="clear" w:color="auto" w:fill="auto"/>
            <w:noWrap/>
            <w:vAlign w:val="center"/>
          </w:tcPr>
          <w:p w14:paraId="47DA18D7" w14:textId="77777777" w:rsidR="00F70E20" w:rsidRPr="002F5B60" w:rsidRDefault="00F70E20" w:rsidP="0099770F">
            <w:pPr>
              <w:jc w:val="center"/>
              <w:rPr>
                <w:color w:val="000000"/>
                <w:sz w:val="22"/>
              </w:rPr>
            </w:pPr>
            <w:r w:rsidRPr="002F5B60">
              <w:rPr>
                <w:color w:val="000000"/>
                <w:sz w:val="22"/>
                <w:szCs w:val="22"/>
              </w:rPr>
              <w:t>0.05</w:t>
            </w:r>
          </w:p>
        </w:tc>
        <w:tc>
          <w:tcPr>
            <w:tcW w:w="637" w:type="dxa"/>
            <w:tcBorders>
              <w:top w:val="nil"/>
              <w:left w:val="nil"/>
              <w:bottom w:val="nil"/>
              <w:right w:val="nil"/>
            </w:tcBorders>
            <w:shd w:val="clear" w:color="auto" w:fill="auto"/>
            <w:noWrap/>
            <w:vAlign w:val="center"/>
          </w:tcPr>
          <w:p w14:paraId="14F7D4D0" w14:textId="77777777" w:rsidR="00F70E20" w:rsidRPr="002F5B60" w:rsidRDefault="00F70E20" w:rsidP="0099770F">
            <w:pPr>
              <w:jc w:val="center"/>
              <w:rPr>
                <w:color w:val="000000"/>
                <w:sz w:val="22"/>
              </w:rPr>
            </w:pPr>
            <w:r w:rsidRPr="002F5B60">
              <w:rPr>
                <w:color w:val="000000"/>
                <w:sz w:val="22"/>
                <w:szCs w:val="22"/>
              </w:rPr>
              <w:t>0.08</w:t>
            </w:r>
          </w:p>
        </w:tc>
        <w:tc>
          <w:tcPr>
            <w:tcW w:w="637" w:type="dxa"/>
            <w:tcBorders>
              <w:top w:val="nil"/>
              <w:left w:val="nil"/>
              <w:bottom w:val="nil"/>
              <w:right w:val="nil"/>
            </w:tcBorders>
            <w:shd w:val="clear" w:color="auto" w:fill="auto"/>
            <w:noWrap/>
            <w:vAlign w:val="center"/>
          </w:tcPr>
          <w:p w14:paraId="02ABE7D6" w14:textId="77777777" w:rsidR="00F70E20" w:rsidRPr="002F5B60" w:rsidRDefault="00F70E20" w:rsidP="0099770F">
            <w:pPr>
              <w:jc w:val="center"/>
              <w:rPr>
                <w:color w:val="000000"/>
                <w:sz w:val="22"/>
              </w:rPr>
            </w:pPr>
            <w:r w:rsidRPr="002F5B60">
              <w:rPr>
                <w:color w:val="000000"/>
                <w:sz w:val="22"/>
                <w:szCs w:val="22"/>
              </w:rPr>
              <w:t>0.11</w:t>
            </w:r>
          </w:p>
        </w:tc>
        <w:tc>
          <w:tcPr>
            <w:tcW w:w="637" w:type="dxa"/>
            <w:tcBorders>
              <w:top w:val="nil"/>
              <w:left w:val="nil"/>
              <w:bottom w:val="nil"/>
              <w:right w:val="nil"/>
            </w:tcBorders>
            <w:shd w:val="clear" w:color="auto" w:fill="auto"/>
            <w:noWrap/>
            <w:vAlign w:val="center"/>
          </w:tcPr>
          <w:p w14:paraId="17E9C008" w14:textId="77777777" w:rsidR="00F70E20" w:rsidRPr="002F5B60" w:rsidRDefault="00F70E20" w:rsidP="0099770F">
            <w:pPr>
              <w:jc w:val="center"/>
              <w:rPr>
                <w:color w:val="000000"/>
                <w:sz w:val="22"/>
              </w:rPr>
            </w:pPr>
            <w:r w:rsidRPr="002F5B60">
              <w:rPr>
                <w:color w:val="000000"/>
                <w:sz w:val="22"/>
                <w:szCs w:val="22"/>
              </w:rPr>
              <w:t>1.00</w:t>
            </w:r>
          </w:p>
        </w:tc>
        <w:tc>
          <w:tcPr>
            <w:tcW w:w="637" w:type="dxa"/>
            <w:tcBorders>
              <w:top w:val="nil"/>
              <w:left w:val="nil"/>
              <w:bottom w:val="nil"/>
              <w:right w:val="nil"/>
            </w:tcBorders>
            <w:shd w:val="clear" w:color="auto" w:fill="auto"/>
            <w:noWrap/>
            <w:vAlign w:val="center"/>
          </w:tcPr>
          <w:p w14:paraId="7D78AABA" w14:textId="77777777" w:rsidR="00F70E20" w:rsidRPr="002F5B60" w:rsidRDefault="00F70E20" w:rsidP="0099770F">
            <w:pPr>
              <w:jc w:val="center"/>
              <w:rPr>
                <w:color w:val="000000"/>
                <w:sz w:val="22"/>
              </w:rPr>
            </w:pPr>
          </w:p>
        </w:tc>
        <w:tc>
          <w:tcPr>
            <w:tcW w:w="637" w:type="dxa"/>
            <w:tcBorders>
              <w:top w:val="nil"/>
              <w:left w:val="nil"/>
              <w:bottom w:val="nil"/>
              <w:right w:val="nil"/>
            </w:tcBorders>
            <w:shd w:val="clear" w:color="auto" w:fill="auto"/>
            <w:noWrap/>
            <w:vAlign w:val="center"/>
          </w:tcPr>
          <w:p w14:paraId="193A9EC7"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78E9FFD9"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44091394"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2B40F666"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76397487"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15385834"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2D9C91CB" w14:textId="77777777" w:rsidR="00F70E20" w:rsidRPr="002F5B60" w:rsidRDefault="00F70E20" w:rsidP="0099770F">
            <w:pPr>
              <w:jc w:val="center"/>
              <w:rPr>
                <w:sz w:val="22"/>
              </w:rPr>
            </w:pPr>
          </w:p>
        </w:tc>
        <w:tc>
          <w:tcPr>
            <w:tcW w:w="541" w:type="dxa"/>
            <w:tcBorders>
              <w:top w:val="nil"/>
              <w:left w:val="nil"/>
              <w:bottom w:val="nil"/>
              <w:right w:val="nil"/>
            </w:tcBorders>
            <w:vAlign w:val="center"/>
          </w:tcPr>
          <w:p w14:paraId="6A91D67C" w14:textId="77777777" w:rsidR="00F70E20" w:rsidRPr="002F5B60" w:rsidRDefault="00F70E20" w:rsidP="0099770F">
            <w:pPr>
              <w:jc w:val="center"/>
              <w:rPr>
                <w:sz w:val="22"/>
              </w:rPr>
            </w:pPr>
          </w:p>
        </w:tc>
      </w:tr>
      <w:tr w:rsidR="00F70E20" w:rsidRPr="001C5555" w14:paraId="5D0DF04E" w14:textId="77777777" w:rsidTr="0099770F">
        <w:trPr>
          <w:trHeight w:val="290"/>
        </w:trPr>
        <w:tc>
          <w:tcPr>
            <w:tcW w:w="2023" w:type="dxa"/>
            <w:tcBorders>
              <w:top w:val="nil"/>
              <w:left w:val="nil"/>
              <w:bottom w:val="nil"/>
              <w:right w:val="nil"/>
            </w:tcBorders>
            <w:shd w:val="clear" w:color="auto" w:fill="auto"/>
            <w:vAlign w:val="center"/>
            <w:hideMark/>
          </w:tcPr>
          <w:p w14:paraId="2549A5A7" w14:textId="77777777" w:rsidR="00F70E20" w:rsidRPr="002F5B60" w:rsidRDefault="00F70E20" w:rsidP="0099770F">
            <w:pPr>
              <w:rPr>
                <w:color w:val="000000"/>
                <w:sz w:val="22"/>
              </w:rPr>
            </w:pPr>
            <w:r w:rsidRPr="002F5B60">
              <w:rPr>
                <w:color w:val="000000"/>
                <w:sz w:val="22"/>
              </w:rPr>
              <w:t>7. Gross Margin</w:t>
            </w:r>
          </w:p>
        </w:tc>
        <w:tc>
          <w:tcPr>
            <w:tcW w:w="728" w:type="dxa"/>
            <w:tcBorders>
              <w:top w:val="nil"/>
              <w:left w:val="nil"/>
              <w:bottom w:val="nil"/>
              <w:right w:val="nil"/>
            </w:tcBorders>
            <w:vAlign w:val="center"/>
          </w:tcPr>
          <w:p w14:paraId="1564ACA5" w14:textId="77777777" w:rsidR="00F70E20" w:rsidRPr="002F5B60" w:rsidRDefault="00F70E20" w:rsidP="0099770F">
            <w:pPr>
              <w:jc w:val="center"/>
              <w:rPr>
                <w:color w:val="000000"/>
                <w:sz w:val="22"/>
                <w:szCs w:val="22"/>
              </w:rPr>
            </w:pPr>
            <w:r w:rsidRPr="002F5B60">
              <w:rPr>
                <w:color w:val="000000"/>
                <w:sz w:val="22"/>
                <w:szCs w:val="22"/>
              </w:rPr>
              <w:t>0.60</w:t>
            </w:r>
          </w:p>
        </w:tc>
        <w:tc>
          <w:tcPr>
            <w:tcW w:w="547" w:type="dxa"/>
            <w:tcBorders>
              <w:top w:val="nil"/>
              <w:left w:val="nil"/>
              <w:bottom w:val="nil"/>
              <w:right w:val="nil"/>
            </w:tcBorders>
            <w:vAlign w:val="center"/>
          </w:tcPr>
          <w:p w14:paraId="523FF987" w14:textId="77777777" w:rsidR="00F70E20" w:rsidRPr="002F5B60" w:rsidRDefault="00F70E20" w:rsidP="0099770F">
            <w:pPr>
              <w:jc w:val="center"/>
              <w:rPr>
                <w:color w:val="000000"/>
                <w:sz w:val="22"/>
                <w:szCs w:val="22"/>
              </w:rPr>
            </w:pPr>
            <w:r w:rsidRPr="002F5B60">
              <w:rPr>
                <w:color w:val="000000"/>
                <w:sz w:val="22"/>
                <w:szCs w:val="22"/>
              </w:rPr>
              <w:t>0.21</w:t>
            </w:r>
          </w:p>
        </w:tc>
        <w:tc>
          <w:tcPr>
            <w:tcW w:w="637" w:type="dxa"/>
            <w:tcBorders>
              <w:top w:val="nil"/>
              <w:left w:val="nil"/>
              <w:bottom w:val="nil"/>
              <w:right w:val="nil"/>
            </w:tcBorders>
            <w:shd w:val="clear" w:color="auto" w:fill="auto"/>
            <w:noWrap/>
            <w:vAlign w:val="center"/>
          </w:tcPr>
          <w:p w14:paraId="7B5483BC" w14:textId="77777777" w:rsidR="00F70E20" w:rsidRPr="002F5B60" w:rsidRDefault="00F70E20" w:rsidP="0099770F">
            <w:pPr>
              <w:jc w:val="center"/>
              <w:rPr>
                <w:color w:val="000000"/>
                <w:sz w:val="22"/>
              </w:rPr>
            </w:pPr>
            <w:r w:rsidRPr="002F5B60">
              <w:rPr>
                <w:color w:val="000000"/>
                <w:sz w:val="22"/>
                <w:szCs w:val="22"/>
              </w:rPr>
              <w:t>0.29</w:t>
            </w:r>
          </w:p>
        </w:tc>
        <w:tc>
          <w:tcPr>
            <w:tcW w:w="637" w:type="dxa"/>
            <w:tcBorders>
              <w:top w:val="nil"/>
              <w:left w:val="nil"/>
              <w:bottom w:val="nil"/>
              <w:right w:val="nil"/>
            </w:tcBorders>
            <w:shd w:val="clear" w:color="auto" w:fill="auto"/>
            <w:noWrap/>
            <w:vAlign w:val="center"/>
          </w:tcPr>
          <w:p w14:paraId="744EBF60" w14:textId="77777777" w:rsidR="00F70E20" w:rsidRPr="002F5B60" w:rsidRDefault="00F70E20" w:rsidP="0099770F">
            <w:pPr>
              <w:jc w:val="center"/>
              <w:rPr>
                <w:color w:val="000000"/>
                <w:sz w:val="22"/>
              </w:rPr>
            </w:pPr>
            <w:r w:rsidRPr="002F5B60">
              <w:rPr>
                <w:color w:val="000000"/>
                <w:sz w:val="22"/>
                <w:szCs w:val="22"/>
              </w:rPr>
              <w:t>-0.08</w:t>
            </w:r>
          </w:p>
        </w:tc>
        <w:tc>
          <w:tcPr>
            <w:tcW w:w="637" w:type="dxa"/>
            <w:tcBorders>
              <w:top w:val="nil"/>
              <w:left w:val="nil"/>
              <w:bottom w:val="nil"/>
              <w:right w:val="nil"/>
            </w:tcBorders>
            <w:shd w:val="clear" w:color="auto" w:fill="auto"/>
            <w:noWrap/>
            <w:vAlign w:val="center"/>
          </w:tcPr>
          <w:p w14:paraId="0C10BE4A" w14:textId="77777777" w:rsidR="00F70E20" w:rsidRPr="002F5B60" w:rsidRDefault="00F70E20" w:rsidP="0099770F">
            <w:pPr>
              <w:jc w:val="center"/>
              <w:rPr>
                <w:color w:val="000000"/>
                <w:sz w:val="22"/>
              </w:rPr>
            </w:pPr>
            <w:r w:rsidRPr="002F5B60">
              <w:rPr>
                <w:color w:val="000000"/>
                <w:sz w:val="22"/>
                <w:szCs w:val="22"/>
              </w:rPr>
              <w:t>0.11</w:t>
            </w:r>
          </w:p>
        </w:tc>
        <w:tc>
          <w:tcPr>
            <w:tcW w:w="637" w:type="dxa"/>
            <w:tcBorders>
              <w:top w:val="nil"/>
              <w:left w:val="nil"/>
              <w:bottom w:val="nil"/>
              <w:right w:val="nil"/>
            </w:tcBorders>
            <w:shd w:val="clear" w:color="auto" w:fill="auto"/>
            <w:noWrap/>
            <w:vAlign w:val="center"/>
          </w:tcPr>
          <w:p w14:paraId="7960CC76" w14:textId="77777777" w:rsidR="00F70E20" w:rsidRPr="002F5B60" w:rsidRDefault="00F70E20" w:rsidP="0099770F">
            <w:pPr>
              <w:jc w:val="center"/>
              <w:rPr>
                <w:color w:val="000000"/>
                <w:sz w:val="22"/>
              </w:rPr>
            </w:pPr>
            <w:r w:rsidRPr="002F5B60">
              <w:rPr>
                <w:color w:val="000000"/>
                <w:sz w:val="22"/>
                <w:szCs w:val="22"/>
              </w:rPr>
              <w:t>0.16</w:t>
            </w:r>
          </w:p>
        </w:tc>
        <w:tc>
          <w:tcPr>
            <w:tcW w:w="637" w:type="dxa"/>
            <w:tcBorders>
              <w:top w:val="nil"/>
              <w:left w:val="nil"/>
              <w:bottom w:val="nil"/>
              <w:right w:val="nil"/>
            </w:tcBorders>
            <w:shd w:val="clear" w:color="auto" w:fill="auto"/>
            <w:noWrap/>
            <w:vAlign w:val="center"/>
          </w:tcPr>
          <w:p w14:paraId="1190B1D2" w14:textId="77777777" w:rsidR="00F70E20" w:rsidRPr="002F5B60" w:rsidRDefault="00F70E20" w:rsidP="0099770F">
            <w:pPr>
              <w:jc w:val="center"/>
              <w:rPr>
                <w:color w:val="000000"/>
                <w:sz w:val="22"/>
              </w:rPr>
            </w:pPr>
            <w:r w:rsidRPr="002F5B60">
              <w:rPr>
                <w:color w:val="000000"/>
                <w:sz w:val="22"/>
                <w:szCs w:val="22"/>
              </w:rPr>
              <w:t>-0.09</w:t>
            </w:r>
          </w:p>
        </w:tc>
        <w:tc>
          <w:tcPr>
            <w:tcW w:w="637" w:type="dxa"/>
            <w:tcBorders>
              <w:top w:val="nil"/>
              <w:left w:val="nil"/>
              <w:bottom w:val="nil"/>
              <w:right w:val="nil"/>
            </w:tcBorders>
            <w:shd w:val="clear" w:color="auto" w:fill="auto"/>
            <w:noWrap/>
            <w:vAlign w:val="center"/>
          </w:tcPr>
          <w:p w14:paraId="77028EF1" w14:textId="77777777" w:rsidR="00F70E20" w:rsidRPr="002F5B60" w:rsidRDefault="00F70E20" w:rsidP="0099770F">
            <w:pPr>
              <w:jc w:val="center"/>
              <w:rPr>
                <w:color w:val="000000"/>
                <w:sz w:val="22"/>
              </w:rPr>
            </w:pPr>
            <w:r w:rsidRPr="002F5B60">
              <w:rPr>
                <w:color w:val="000000"/>
                <w:sz w:val="22"/>
                <w:szCs w:val="22"/>
              </w:rPr>
              <w:t>0.10</w:t>
            </w:r>
          </w:p>
        </w:tc>
        <w:tc>
          <w:tcPr>
            <w:tcW w:w="637" w:type="dxa"/>
            <w:tcBorders>
              <w:top w:val="nil"/>
              <w:left w:val="nil"/>
              <w:bottom w:val="nil"/>
              <w:right w:val="nil"/>
            </w:tcBorders>
            <w:shd w:val="clear" w:color="auto" w:fill="auto"/>
            <w:noWrap/>
            <w:vAlign w:val="center"/>
          </w:tcPr>
          <w:p w14:paraId="3832A298" w14:textId="77777777" w:rsidR="00F70E20" w:rsidRPr="002F5B60" w:rsidRDefault="00F70E20" w:rsidP="0099770F">
            <w:pPr>
              <w:jc w:val="center"/>
              <w:rPr>
                <w:color w:val="000000"/>
                <w:sz w:val="22"/>
              </w:rPr>
            </w:pPr>
            <w:r w:rsidRPr="002F5B60">
              <w:rPr>
                <w:color w:val="000000"/>
                <w:sz w:val="22"/>
                <w:szCs w:val="22"/>
              </w:rPr>
              <w:t>1.00</w:t>
            </w:r>
          </w:p>
        </w:tc>
        <w:tc>
          <w:tcPr>
            <w:tcW w:w="637" w:type="dxa"/>
            <w:tcBorders>
              <w:top w:val="nil"/>
              <w:left w:val="nil"/>
              <w:bottom w:val="nil"/>
              <w:right w:val="nil"/>
            </w:tcBorders>
            <w:shd w:val="clear" w:color="auto" w:fill="auto"/>
            <w:noWrap/>
            <w:vAlign w:val="center"/>
          </w:tcPr>
          <w:p w14:paraId="0994828E" w14:textId="77777777" w:rsidR="00F70E20" w:rsidRPr="002F5B60" w:rsidRDefault="00F70E20" w:rsidP="0099770F">
            <w:pPr>
              <w:jc w:val="center"/>
              <w:rPr>
                <w:color w:val="000000"/>
                <w:sz w:val="22"/>
              </w:rPr>
            </w:pPr>
          </w:p>
        </w:tc>
        <w:tc>
          <w:tcPr>
            <w:tcW w:w="637" w:type="dxa"/>
            <w:tcBorders>
              <w:top w:val="nil"/>
              <w:left w:val="nil"/>
              <w:bottom w:val="nil"/>
              <w:right w:val="nil"/>
            </w:tcBorders>
            <w:shd w:val="clear" w:color="auto" w:fill="auto"/>
            <w:noWrap/>
            <w:vAlign w:val="center"/>
          </w:tcPr>
          <w:p w14:paraId="21613331"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28F59BB8"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7163AF2B"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1843EFD9"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0155089D"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36382C07" w14:textId="77777777" w:rsidR="00F70E20" w:rsidRPr="002F5B60" w:rsidRDefault="00F70E20" w:rsidP="0099770F">
            <w:pPr>
              <w:jc w:val="center"/>
              <w:rPr>
                <w:sz w:val="22"/>
              </w:rPr>
            </w:pPr>
          </w:p>
        </w:tc>
        <w:tc>
          <w:tcPr>
            <w:tcW w:w="541" w:type="dxa"/>
            <w:tcBorders>
              <w:top w:val="nil"/>
              <w:left w:val="nil"/>
              <w:bottom w:val="nil"/>
              <w:right w:val="nil"/>
            </w:tcBorders>
            <w:vAlign w:val="center"/>
          </w:tcPr>
          <w:p w14:paraId="23FDDCD7" w14:textId="77777777" w:rsidR="00F70E20" w:rsidRPr="002F5B60" w:rsidRDefault="00F70E20" w:rsidP="0099770F">
            <w:pPr>
              <w:jc w:val="center"/>
              <w:rPr>
                <w:sz w:val="22"/>
              </w:rPr>
            </w:pPr>
          </w:p>
        </w:tc>
      </w:tr>
      <w:tr w:rsidR="00F70E20" w:rsidRPr="001C5555" w14:paraId="685933C6" w14:textId="77777777" w:rsidTr="0099770F">
        <w:trPr>
          <w:trHeight w:val="290"/>
        </w:trPr>
        <w:tc>
          <w:tcPr>
            <w:tcW w:w="2023" w:type="dxa"/>
            <w:tcBorders>
              <w:top w:val="nil"/>
              <w:left w:val="nil"/>
              <w:bottom w:val="nil"/>
              <w:right w:val="nil"/>
            </w:tcBorders>
            <w:shd w:val="clear" w:color="auto" w:fill="auto"/>
            <w:vAlign w:val="center"/>
            <w:hideMark/>
          </w:tcPr>
          <w:p w14:paraId="7AC8D61F" w14:textId="77777777" w:rsidR="00F70E20" w:rsidRPr="002F5B60" w:rsidRDefault="00F70E20" w:rsidP="0099770F">
            <w:pPr>
              <w:rPr>
                <w:color w:val="000000"/>
                <w:sz w:val="22"/>
              </w:rPr>
            </w:pPr>
            <w:r w:rsidRPr="002F5B60">
              <w:rPr>
                <w:color w:val="000000"/>
                <w:sz w:val="22"/>
              </w:rPr>
              <w:t>8. B2C</w:t>
            </w:r>
          </w:p>
        </w:tc>
        <w:tc>
          <w:tcPr>
            <w:tcW w:w="728" w:type="dxa"/>
            <w:tcBorders>
              <w:top w:val="nil"/>
              <w:left w:val="nil"/>
              <w:bottom w:val="nil"/>
              <w:right w:val="nil"/>
            </w:tcBorders>
            <w:vAlign w:val="center"/>
          </w:tcPr>
          <w:p w14:paraId="05CB51C9" w14:textId="77777777" w:rsidR="00F70E20" w:rsidRPr="002F5B60" w:rsidRDefault="00F70E20" w:rsidP="0099770F">
            <w:pPr>
              <w:jc w:val="center"/>
              <w:rPr>
                <w:color w:val="000000"/>
                <w:sz w:val="22"/>
                <w:szCs w:val="22"/>
              </w:rPr>
            </w:pPr>
            <w:r w:rsidRPr="002F5B60">
              <w:rPr>
                <w:color w:val="000000"/>
                <w:sz w:val="22"/>
                <w:szCs w:val="22"/>
              </w:rPr>
              <w:t>0.27</w:t>
            </w:r>
          </w:p>
        </w:tc>
        <w:tc>
          <w:tcPr>
            <w:tcW w:w="547" w:type="dxa"/>
            <w:tcBorders>
              <w:top w:val="nil"/>
              <w:left w:val="nil"/>
              <w:bottom w:val="nil"/>
              <w:right w:val="nil"/>
            </w:tcBorders>
            <w:vAlign w:val="center"/>
          </w:tcPr>
          <w:p w14:paraId="640D3C7F" w14:textId="77777777" w:rsidR="00F70E20" w:rsidRPr="002F5B60" w:rsidRDefault="00F70E20" w:rsidP="0099770F">
            <w:pPr>
              <w:jc w:val="center"/>
              <w:rPr>
                <w:color w:val="000000"/>
                <w:sz w:val="22"/>
                <w:szCs w:val="22"/>
              </w:rPr>
            </w:pPr>
            <w:r w:rsidRPr="002F5B60">
              <w:rPr>
                <w:color w:val="000000"/>
                <w:sz w:val="22"/>
                <w:szCs w:val="22"/>
              </w:rPr>
              <w:t>0.45</w:t>
            </w:r>
          </w:p>
        </w:tc>
        <w:tc>
          <w:tcPr>
            <w:tcW w:w="637" w:type="dxa"/>
            <w:tcBorders>
              <w:top w:val="nil"/>
              <w:left w:val="nil"/>
              <w:bottom w:val="nil"/>
              <w:right w:val="nil"/>
            </w:tcBorders>
            <w:shd w:val="clear" w:color="auto" w:fill="auto"/>
            <w:noWrap/>
            <w:vAlign w:val="center"/>
          </w:tcPr>
          <w:p w14:paraId="6AD6C1FB" w14:textId="77777777" w:rsidR="00F70E20" w:rsidRPr="002F5B60" w:rsidRDefault="00F70E20" w:rsidP="0099770F">
            <w:pPr>
              <w:jc w:val="center"/>
              <w:rPr>
                <w:color w:val="000000"/>
                <w:sz w:val="22"/>
              </w:rPr>
            </w:pPr>
            <w:r w:rsidRPr="002F5B60">
              <w:rPr>
                <w:color w:val="000000"/>
                <w:sz w:val="22"/>
                <w:szCs w:val="22"/>
              </w:rPr>
              <w:t>-0.15</w:t>
            </w:r>
          </w:p>
        </w:tc>
        <w:tc>
          <w:tcPr>
            <w:tcW w:w="637" w:type="dxa"/>
            <w:tcBorders>
              <w:top w:val="nil"/>
              <w:left w:val="nil"/>
              <w:bottom w:val="nil"/>
              <w:right w:val="nil"/>
            </w:tcBorders>
            <w:shd w:val="clear" w:color="auto" w:fill="auto"/>
            <w:noWrap/>
            <w:vAlign w:val="center"/>
          </w:tcPr>
          <w:p w14:paraId="4BDC9EF6" w14:textId="77777777" w:rsidR="00F70E20" w:rsidRPr="002F5B60" w:rsidRDefault="00F70E20" w:rsidP="0099770F">
            <w:pPr>
              <w:jc w:val="center"/>
              <w:rPr>
                <w:color w:val="000000"/>
                <w:sz w:val="22"/>
              </w:rPr>
            </w:pPr>
            <w:r w:rsidRPr="002F5B60">
              <w:rPr>
                <w:color w:val="000000"/>
                <w:sz w:val="22"/>
                <w:szCs w:val="22"/>
              </w:rPr>
              <w:t>0.13</w:t>
            </w:r>
          </w:p>
        </w:tc>
        <w:tc>
          <w:tcPr>
            <w:tcW w:w="637" w:type="dxa"/>
            <w:tcBorders>
              <w:top w:val="nil"/>
              <w:left w:val="nil"/>
              <w:bottom w:val="nil"/>
              <w:right w:val="nil"/>
            </w:tcBorders>
            <w:shd w:val="clear" w:color="auto" w:fill="auto"/>
            <w:noWrap/>
            <w:vAlign w:val="center"/>
          </w:tcPr>
          <w:p w14:paraId="69CB290B" w14:textId="77777777" w:rsidR="00F70E20" w:rsidRPr="002F5B60" w:rsidRDefault="00F70E20" w:rsidP="0099770F">
            <w:pPr>
              <w:jc w:val="center"/>
              <w:rPr>
                <w:color w:val="000000"/>
                <w:sz w:val="22"/>
              </w:rPr>
            </w:pPr>
            <w:r w:rsidRPr="002F5B60">
              <w:rPr>
                <w:color w:val="000000"/>
                <w:sz w:val="22"/>
                <w:szCs w:val="22"/>
              </w:rPr>
              <w:t>0.09</w:t>
            </w:r>
          </w:p>
        </w:tc>
        <w:tc>
          <w:tcPr>
            <w:tcW w:w="637" w:type="dxa"/>
            <w:tcBorders>
              <w:top w:val="nil"/>
              <w:left w:val="nil"/>
              <w:bottom w:val="nil"/>
              <w:right w:val="nil"/>
            </w:tcBorders>
            <w:shd w:val="clear" w:color="auto" w:fill="auto"/>
            <w:noWrap/>
            <w:vAlign w:val="center"/>
          </w:tcPr>
          <w:p w14:paraId="31F2777E" w14:textId="77777777" w:rsidR="00F70E20" w:rsidRPr="002F5B60" w:rsidRDefault="00F70E20" w:rsidP="0099770F">
            <w:pPr>
              <w:jc w:val="center"/>
              <w:rPr>
                <w:color w:val="000000"/>
                <w:sz w:val="22"/>
              </w:rPr>
            </w:pPr>
            <w:r w:rsidRPr="002F5B60">
              <w:rPr>
                <w:color w:val="000000"/>
                <w:sz w:val="22"/>
                <w:szCs w:val="22"/>
              </w:rPr>
              <w:t>-0.07</w:t>
            </w:r>
          </w:p>
        </w:tc>
        <w:tc>
          <w:tcPr>
            <w:tcW w:w="637" w:type="dxa"/>
            <w:tcBorders>
              <w:top w:val="nil"/>
              <w:left w:val="nil"/>
              <w:bottom w:val="nil"/>
              <w:right w:val="nil"/>
            </w:tcBorders>
            <w:shd w:val="clear" w:color="auto" w:fill="auto"/>
            <w:noWrap/>
            <w:vAlign w:val="center"/>
          </w:tcPr>
          <w:p w14:paraId="3DDEF736" w14:textId="77777777" w:rsidR="00F70E20" w:rsidRPr="002F5B60" w:rsidRDefault="00F70E20" w:rsidP="0099770F">
            <w:pPr>
              <w:jc w:val="center"/>
              <w:rPr>
                <w:color w:val="000000"/>
                <w:sz w:val="22"/>
              </w:rPr>
            </w:pPr>
            <w:r w:rsidRPr="002F5B60">
              <w:rPr>
                <w:color w:val="000000"/>
                <w:sz w:val="22"/>
                <w:szCs w:val="22"/>
              </w:rPr>
              <w:t>-0.10</w:t>
            </w:r>
          </w:p>
        </w:tc>
        <w:tc>
          <w:tcPr>
            <w:tcW w:w="637" w:type="dxa"/>
            <w:tcBorders>
              <w:top w:val="nil"/>
              <w:left w:val="nil"/>
              <w:bottom w:val="nil"/>
              <w:right w:val="nil"/>
            </w:tcBorders>
            <w:shd w:val="clear" w:color="auto" w:fill="auto"/>
            <w:noWrap/>
            <w:vAlign w:val="center"/>
          </w:tcPr>
          <w:p w14:paraId="2DBEB5AD" w14:textId="77777777" w:rsidR="00F70E20" w:rsidRPr="002F5B60" w:rsidRDefault="00F70E20" w:rsidP="0099770F">
            <w:pPr>
              <w:jc w:val="center"/>
              <w:rPr>
                <w:color w:val="000000"/>
                <w:sz w:val="22"/>
              </w:rPr>
            </w:pPr>
            <w:r w:rsidRPr="002F5B60">
              <w:rPr>
                <w:color w:val="000000"/>
                <w:sz w:val="22"/>
                <w:szCs w:val="22"/>
              </w:rPr>
              <w:t>0.15</w:t>
            </w:r>
          </w:p>
        </w:tc>
        <w:tc>
          <w:tcPr>
            <w:tcW w:w="637" w:type="dxa"/>
            <w:tcBorders>
              <w:top w:val="nil"/>
              <w:left w:val="nil"/>
              <w:bottom w:val="nil"/>
              <w:right w:val="nil"/>
            </w:tcBorders>
            <w:shd w:val="clear" w:color="auto" w:fill="auto"/>
            <w:noWrap/>
            <w:vAlign w:val="center"/>
          </w:tcPr>
          <w:p w14:paraId="084C6646" w14:textId="77777777" w:rsidR="00F70E20" w:rsidRPr="002F5B60" w:rsidRDefault="00F70E20" w:rsidP="0099770F">
            <w:pPr>
              <w:jc w:val="center"/>
              <w:rPr>
                <w:color w:val="000000"/>
                <w:sz w:val="22"/>
              </w:rPr>
            </w:pPr>
            <w:r w:rsidRPr="002F5B60">
              <w:rPr>
                <w:color w:val="000000"/>
                <w:sz w:val="22"/>
                <w:szCs w:val="22"/>
              </w:rPr>
              <w:t>0.14</w:t>
            </w:r>
          </w:p>
        </w:tc>
        <w:tc>
          <w:tcPr>
            <w:tcW w:w="637" w:type="dxa"/>
            <w:tcBorders>
              <w:top w:val="nil"/>
              <w:left w:val="nil"/>
              <w:bottom w:val="nil"/>
              <w:right w:val="nil"/>
            </w:tcBorders>
            <w:shd w:val="clear" w:color="auto" w:fill="auto"/>
            <w:noWrap/>
            <w:vAlign w:val="center"/>
          </w:tcPr>
          <w:p w14:paraId="75FC3649" w14:textId="77777777" w:rsidR="00F70E20" w:rsidRPr="002F5B60" w:rsidRDefault="00F70E20" w:rsidP="0099770F">
            <w:pPr>
              <w:jc w:val="center"/>
              <w:rPr>
                <w:color w:val="000000"/>
                <w:sz w:val="22"/>
              </w:rPr>
            </w:pPr>
            <w:r w:rsidRPr="002F5B60">
              <w:rPr>
                <w:color w:val="000000"/>
                <w:sz w:val="22"/>
                <w:szCs w:val="22"/>
              </w:rPr>
              <w:t>1.00</w:t>
            </w:r>
          </w:p>
        </w:tc>
        <w:tc>
          <w:tcPr>
            <w:tcW w:w="637" w:type="dxa"/>
            <w:tcBorders>
              <w:top w:val="nil"/>
              <w:left w:val="nil"/>
              <w:bottom w:val="nil"/>
              <w:right w:val="nil"/>
            </w:tcBorders>
            <w:shd w:val="clear" w:color="auto" w:fill="auto"/>
            <w:noWrap/>
            <w:vAlign w:val="center"/>
          </w:tcPr>
          <w:p w14:paraId="67BB8AD3" w14:textId="77777777" w:rsidR="00F70E20" w:rsidRPr="002F5B60" w:rsidRDefault="00F70E20" w:rsidP="0099770F">
            <w:pPr>
              <w:jc w:val="center"/>
              <w:rPr>
                <w:color w:val="000000"/>
                <w:sz w:val="22"/>
              </w:rPr>
            </w:pPr>
          </w:p>
        </w:tc>
        <w:tc>
          <w:tcPr>
            <w:tcW w:w="637" w:type="dxa"/>
            <w:tcBorders>
              <w:top w:val="nil"/>
              <w:left w:val="nil"/>
              <w:bottom w:val="nil"/>
              <w:right w:val="nil"/>
            </w:tcBorders>
            <w:shd w:val="clear" w:color="auto" w:fill="auto"/>
            <w:noWrap/>
            <w:vAlign w:val="center"/>
          </w:tcPr>
          <w:p w14:paraId="20C9A7AE"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73328EAE"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7598AC8F"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7D20D3D2"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6F6B1274" w14:textId="77777777" w:rsidR="00F70E20" w:rsidRPr="002F5B60" w:rsidRDefault="00F70E20" w:rsidP="0099770F">
            <w:pPr>
              <w:jc w:val="center"/>
              <w:rPr>
                <w:sz w:val="22"/>
              </w:rPr>
            </w:pPr>
          </w:p>
        </w:tc>
        <w:tc>
          <w:tcPr>
            <w:tcW w:w="541" w:type="dxa"/>
            <w:tcBorders>
              <w:top w:val="nil"/>
              <w:left w:val="nil"/>
              <w:bottom w:val="nil"/>
              <w:right w:val="nil"/>
            </w:tcBorders>
            <w:vAlign w:val="center"/>
          </w:tcPr>
          <w:p w14:paraId="79AFCD05" w14:textId="77777777" w:rsidR="00F70E20" w:rsidRPr="002F5B60" w:rsidRDefault="00F70E20" w:rsidP="0099770F">
            <w:pPr>
              <w:jc w:val="center"/>
              <w:rPr>
                <w:sz w:val="22"/>
              </w:rPr>
            </w:pPr>
          </w:p>
        </w:tc>
      </w:tr>
      <w:tr w:rsidR="00F70E20" w:rsidRPr="001C5555" w14:paraId="77A08B02" w14:textId="77777777" w:rsidTr="0099770F">
        <w:trPr>
          <w:trHeight w:val="288"/>
        </w:trPr>
        <w:tc>
          <w:tcPr>
            <w:tcW w:w="2023" w:type="dxa"/>
            <w:tcBorders>
              <w:top w:val="nil"/>
              <w:left w:val="nil"/>
              <w:bottom w:val="nil"/>
              <w:right w:val="nil"/>
            </w:tcBorders>
            <w:shd w:val="clear" w:color="auto" w:fill="auto"/>
            <w:vAlign w:val="center"/>
            <w:hideMark/>
          </w:tcPr>
          <w:p w14:paraId="41240F9E" w14:textId="77777777" w:rsidR="00F70E20" w:rsidRPr="002F5B60" w:rsidRDefault="00F70E20" w:rsidP="0099770F">
            <w:pPr>
              <w:rPr>
                <w:color w:val="000000"/>
                <w:sz w:val="22"/>
              </w:rPr>
            </w:pPr>
            <w:r w:rsidRPr="002F5B60">
              <w:rPr>
                <w:color w:val="000000"/>
                <w:sz w:val="22"/>
              </w:rPr>
              <w:t>9. Application software</w:t>
            </w:r>
          </w:p>
        </w:tc>
        <w:tc>
          <w:tcPr>
            <w:tcW w:w="728" w:type="dxa"/>
            <w:tcBorders>
              <w:top w:val="nil"/>
              <w:left w:val="nil"/>
              <w:bottom w:val="nil"/>
              <w:right w:val="nil"/>
            </w:tcBorders>
            <w:vAlign w:val="center"/>
          </w:tcPr>
          <w:p w14:paraId="1F77EE54" w14:textId="77777777" w:rsidR="00F70E20" w:rsidRPr="002F5B60" w:rsidRDefault="00F70E20" w:rsidP="0099770F">
            <w:pPr>
              <w:jc w:val="center"/>
              <w:rPr>
                <w:color w:val="000000"/>
                <w:sz w:val="22"/>
                <w:szCs w:val="22"/>
              </w:rPr>
            </w:pPr>
            <w:r w:rsidRPr="002F5B60">
              <w:rPr>
                <w:color w:val="000000"/>
                <w:sz w:val="22"/>
                <w:szCs w:val="22"/>
              </w:rPr>
              <w:t>0.39</w:t>
            </w:r>
          </w:p>
        </w:tc>
        <w:tc>
          <w:tcPr>
            <w:tcW w:w="547" w:type="dxa"/>
            <w:tcBorders>
              <w:top w:val="nil"/>
              <w:left w:val="nil"/>
              <w:bottom w:val="nil"/>
              <w:right w:val="nil"/>
            </w:tcBorders>
            <w:vAlign w:val="center"/>
          </w:tcPr>
          <w:p w14:paraId="56FEBC65" w14:textId="77777777" w:rsidR="00F70E20" w:rsidRPr="002F5B60" w:rsidRDefault="00F70E20" w:rsidP="0099770F">
            <w:pPr>
              <w:jc w:val="center"/>
              <w:rPr>
                <w:color w:val="000000"/>
                <w:sz w:val="22"/>
                <w:szCs w:val="22"/>
              </w:rPr>
            </w:pPr>
            <w:r w:rsidRPr="002F5B60">
              <w:rPr>
                <w:color w:val="000000"/>
                <w:sz w:val="22"/>
                <w:szCs w:val="22"/>
              </w:rPr>
              <w:t>0.49</w:t>
            </w:r>
          </w:p>
        </w:tc>
        <w:tc>
          <w:tcPr>
            <w:tcW w:w="637" w:type="dxa"/>
            <w:tcBorders>
              <w:top w:val="nil"/>
              <w:left w:val="nil"/>
              <w:bottom w:val="nil"/>
              <w:right w:val="nil"/>
            </w:tcBorders>
            <w:shd w:val="clear" w:color="auto" w:fill="auto"/>
            <w:noWrap/>
            <w:vAlign w:val="center"/>
          </w:tcPr>
          <w:p w14:paraId="058E4B28" w14:textId="77777777" w:rsidR="00F70E20" w:rsidRPr="002F5B60" w:rsidRDefault="00F70E20" w:rsidP="0099770F">
            <w:pPr>
              <w:jc w:val="center"/>
              <w:rPr>
                <w:color w:val="000000"/>
                <w:sz w:val="22"/>
              </w:rPr>
            </w:pPr>
            <w:r w:rsidRPr="002F5B60">
              <w:rPr>
                <w:color w:val="000000"/>
                <w:sz w:val="22"/>
                <w:szCs w:val="22"/>
              </w:rPr>
              <w:t>0.18</w:t>
            </w:r>
          </w:p>
        </w:tc>
        <w:tc>
          <w:tcPr>
            <w:tcW w:w="637" w:type="dxa"/>
            <w:tcBorders>
              <w:top w:val="nil"/>
              <w:left w:val="nil"/>
              <w:bottom w:val="nil"/>
              <w:right w:val="nil"/>
            </w:tcBorders>
            <w:shd w:val="clear" w:color="auto" w:fill="auto"/>
            <w:noWrap/>
            <w:vAlign w:val="center"/>
          </w:tcPr>
          <w:p w14:paraId="3EE5F68D" w14:textId="77777777" w:rsidR="00F70E20" w:rsidRPr="002F5B60" w:rsidRDefault="00F70E20" w:rsidP="0099770F">
            <w:pPr>
              <w:jc w:val="center"/>
              <w:rPr>
                <w:color w:val="000000"/>
                <w:sz w:val="22"/>
              </w:rPr>
            </w:pPr>
            <w:r w:rsidRPr="002F5B60">
              <w:rPr>
                <w:color w:val="000000"/>
                <w:sz w:val="22"/>
                <w:szCs w:val="22"/>
              </w:rPr>
              <w:t>-0.11</w:t>
            </w:r>
          </w:p>
        </w:tc>
        <w:tc>
          <w:tcPr>
            <w:tcW w:w="637" w:type="dxa"/>
            <w:tcBorders>
              <w:top w:val="nil"/>
              <w:left w:val="nil"/>
              <w:bottom w:val="nil"/>
              <w:right w:val="nil"/>
            </w:tcBorders>
            <w:shd w:val="clear" w:color="auto" w:fill="auto"/>
            <w:noWrap/>
            <w:vAlign w:val="center"/>
          </w:tcPr>
          <w:p w14:paraId="173061D5" w14:textId="77777777" w:rsidR="00F70E20" w:rsidRPr="002F5B60" w:rsidRDefault="00F70E20" w:rsidP="0099770F">
            <w:pPr>
              <w:jc w:val="center"/>
              <w:rPr>
                <w:color w:val="000000"/>
                <w:sz w:val="22"/>
              </w:rPr>
            </w:pPr>
            <w:r w:rsidRPr="002F5B60">
              <w:rPr>
                <w:color w:val="000000"/>
                <w:sz w:val="22"/>
                <w:szCs w:val="22"/>
              </w:rPr>
              <w:t>-0.11</w:t>
            </w:r>
          </w:p>
        </w:tc>
        <w:tc>
          <w:tcPr>
            <w:tcW w:w="637" w:type="dxa"/>
            <w:tcBorders>
              <w:top w:val="nil"/>
              <w:left w:val="nil"/>
              <w:bottom w:val="nil"/>
              <w:right w:val="nil"/>
            </w:tcBorders>
            <w:shd w:val="clear" w:color="auto" w:fill="auto"/>
            <w:noWrap/>
            <w:vAlign w:val="center"/>
          </w:tcPr>
          <w:p w14:paraId="3625DD5B" w14:textId="77777777" w:rsidR="00F70E20" w:rsidRPr="002F5B60" w:rsidRDefault="00F70E20" w:rsidP="0099770F">
            <w:pPr>
              <w:jc w:val="center"/>
              <w:rPr>
                <w:color w:val="000000"/>
                <w:sz w:val="22"/>
              </w:rPr>
            </w:pPr>
            <w:r w:rsidRPr="002F5B60">
              <w:rPr>
                <w:color w:val="000000"/>
                <w:sz w:val="22"/>
                <w:szCs w:val="22"/>
              </w:rPr>
              <w:t>0.13</w:t>
            </w:r>
          </w:p>
        </w:tc>
        <w:tc>
          <w:tcPr>
            <w:tcW w:w="637" w:type="dxa"/>
            <w:tcBorders>
              <w:top w:val="nil"/>
              <w:left w:val="nil"/>
              <w:bottom w:val="nil"/>
              <w:right w:val="nil"/>
            </w:tcBorders>
            <w:shd w:val="clear" w:color="auto" w:fill="auto"/>
            <w:noWrap/>
            <w:vAlign w:val="center"/>
          </w:tcPr>
          <w:p w14:paraId="65A9AFA4" w14:textId="77777777" w:rsidR="00F70E20" w:rsidRPr="002F5B60" w:rsidRDefault="00F70E20" w:rsidP="0099770F">
            <w:pPr>
              <w:jc w:val="center"/>
              <w:rPr>
                <w:color w:val="000000"/>
                <w:sz w:val="22"/>
              </w:rPr>
            </w:pPr>
            <w:r w:rsidRPr="002F5B60">
              <w:rPr>
                <w:color w:val="000000"/>
                <w:sz w:val="22"/>
                <w:szCs w:val="22"/>
              </w:rPr>
              <w:t>0.17</w:t>
            </w:r>
          </w:p>
        </w:tc>
        <w:tc>
          <w:tcPr>
            <w:tcW w:w="637" w:type="dxa"/>
            <w:tcBorders>
              <w:top w:val="nil"/>
              <w:left w:val="nil"/>
              <w:bottom w:val="nil"/>
              <w:right w:val="nil"/>
            </w:tcBorders>
            <w:shd w:val="clear" w:color="auto" w:fill="auto"/>
            <w:noWrap/>
            <w:vAlign w:val="center"/>
          </w:tcPr>
          <w:p w14:paraId="39C420A3" w14:textId="77777777" w:rsidR="00F70E20" w:rsidRPr="002F5B60" w:rsidRDefault="00F70E20" w:rsidP="0099770F">
            <w:pPr>
              <w:jc w:val="center"/>
              <w:rPr>
                <w:color w:val="000000"/>
                <w:sz w:val="22"/>
              </w:rPr>
            </w:pPr>
            <w:r w:rsidRPr="002F5B60">
              <w:rPr>
                <w:color w:val="000000"/>
                <w:sz w:val="22"/>
                <w:szCs w:val="22"/>
              </w:rPr>
              <w:t>0.04</w:t>
            </w:r>
          </w:p>
        </w:tc>
        <w:tc>
          <w:tcPr>
            <w:tcW w:w="637" w:type="dxa"/>
            <w:tcBorders>
              <w:top w:val="nil"/>
              <w:left w:val="nil"/>
              <w:bottom w:val="nil"/>
              <w:right w:val="nil"/>
            </w:tcBorders>
            <w:shd w:val="clear" w:color="auto" w:fill="auto"/>
            <w:noWrap/>
            <w:vAlign w:val="center"/>
          </w:tcPr>
          <w:p w14:paraId="3424E2EF" w14:textId="77777777" w:rsidR="00F70E20" w:rsidRPr="002F5B60" w:rsidRDefault="00F70E20" w:rsidP="0099770F">
            <w:pPr>
              <w:jc w:val="center"/>
              <w:rPr>
                <w:color w:val="000000"/>
                <w:sz w:val="22"/>
              </w:rPr>
            </w:pPr>
            <w:r w:rsidRPr="002F5B60">
              <w:rPr>
                <w:color w:val="000000"/>
                <w:sz w:val="22"/>
                <w:szCs w:val="22"/>
              </w:rPr>
              <w:t>0.10</w:t>
            </w:r>
          </w:p>
        </w:tc>
        <w:tc>
          <w:tcPr>
            <w:tcW w:w="637" w:type="dxa"/>
            <w:tcBorders>
              <w:top w:val="nil"/>
              <w:left w:val="nil"/>
              <w:bottom w:val="nil"/>
              <w:right w:val="nil"/>
            </w:tcBorders>
            <w:shd w:val="clear" w:color="auto" w:fill="auto"/>
            <w:noWrap/>
            <w:vAlign w:val="center"/>
          </w:tcPr>
          <w:p w14:paraId="0622BCE0" w14:textId="77777777" w:rsidR="00F70E20" w:rsidRPr="002F5B60" w:rsidRDefault="00F70E20" w:rsidP="0099770F">
            <w:pPr>
              <w:jc w:val="center"/>
              <w:rPr>
                <w:color w:val="000000"/>
                <w:sz w:val="22"/>
              </w:rPr>
            </w:pPr>
            <w:r w:rsidRPr="002F5B60">
              <w:rPr>
                <w:color w:val="000000"/>
                <w:sz w:val="22"/>
                <w:szCs w:val="22"/>
              </w:rPr>
              <w:t>-0.41</w:t>
            </w:r>
          </w:p>
        </w:tc>
        <w:tc>
          <w:tcPr>
            <w:tcW w:w="637" w:type="dxa"/>
            <w:tcBorders>
              <w:top w:val="nil"/>
              <w:left w:val="nil"/>
              <w:bottom w:val="nil"/>
              <w:right w:val="nil"/>
            </w:tcBorders>
            <w:shd w:val="clear" w:color="auto" w:fill="auto"/>
            <w:noWrap/>
            <w:vAlign w:val="center"/>
          </w:tcPr>
          <w:p w14:paraId="7DB48CE0" w14:textId="77777777" w:rsidR="00F70E20" w:rsidRPr="002F5B60" w:rsidRDefault="00F70E20" w:rsidP="0099770F">
            <w:pPr>
              <w:jc w:val="center"/>
              <w:rPr>
                <w:color w:val="000000"/>
                <w:sz w:val="22"/>
              </w:rPr>
            </w:pPr>
            <w:r w:rsidRPr="002F5B60">
              <w:rPr>
                <w:color w:val="000000"/>
                <w:sz w:val="22"/>
                <w:szCs w:val="22"/>
              </w:rPr>
              <w:t>1.00</w:t>
            </w:r>
          </w:p>
        </w:tc>
        <w:tc>
          <w:tcPr>
            <w:tcW w:w="637" w:type="dxa"/>
            <w:tcBorders>
              <w:top w:val="nil"/>
              <w:left w:val="nil"/>
              <w:bottom w:val="nil"/>
              <w:right w:val="nil"/>
            </w:tcBorders>
            <w:shd w:val="clear" w:color="auto" w:fill="auto"/>
            <w:noWrap/>
            <w:vAlign w:val="center"/>
          </w:tcPr>
          <w:p w14:paraId="128D73B9" w14:textId="77777777" w:rsidR="00F70E20" w:rsidRPr="002F5B60" w:rsidRDefault="00F70E20" w:rsidP="0099770F">
            <w:pPr>
              <w:jc w:val="center"/>
              <w:rPr>
                <w:color w:val="000000"/>
                <w:sz w:val="22"/>
              </w:rPr>
            </w:pPr>
          </w:p>
        </w:tc>
        <w:tc>
          <w:tcPr>
            <w:tcW w:w="637" w:type="dxa"/>
            <w:tcBorders>
              <w:top w:val="nil"/>
              <w:left w:val="nil"/>
              <w:bottom w:val="nil"/>
              <w:right w:val="nil"/>
            </w:tcBorders>
            <w:shd w:val="clear" w:color="auto" w:fill="auto"/>
            <w:noWrap/>
            <w:vAlign w:val="center"/>
          </w:tcPr>
          <w:p w14:paraId="579D4DE8"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48C2A4FB"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6E401A01"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2C329CFD" w14:textId="77777777" w:rsidR="00F70E20" w:rsidRPr="002F5B60" w:rsidRDefault="00F70E20" w:rsidP="0099770F">
            <w:pPr>
              <w:jc w:val="center"/>
              <w:rPr>
                <w:sz w:val="22"/>
              </w:rPr>
            </w:pPr>
          </w:p>
        </w:tc>
        <w:tc>
          <w:tcPr>
            <w:tcW w:w="541" w:type="dxa"/>
            <w:tcBorders>
              <w:top w:val="nil"/>
              <w:left w:val="nil"/>
              <w:bottom w:val="nil"/>
              <w:right w:val="nil"/>
            </w:tcBorders>
            <w:vAlign w:val="center"/>
          </w:tcPr>
          <w:p w14:paraId="2CBD5CDE" w14:textId="77777777" w:rsidR="00F70E20" w:rsidRPr="002F5B60" w:rsidRDefault="00F70E20" w:rsidP="0099770F">
            <w:pPr>
              <w:jc w:val="center"/>
              <w:rPr>
                <w:sz w:val="22"/>
              </w:rPr>
            </w:pPr>
          </w:p>
        </w:tc>
      </w:tr>
      <w:tr w:rsidR="00F70E20" w:rsidRPr="001C5555" w14:paraId="52E9ED32" w14:textId="77777777" w:rsidTr="0099770F">
        <w:trPr>
          <w:trHeight w:val="580"/>
        </w:trPr>
        <w:tc>
          <w:tcPr>
            <w:tcW w:w="2023" w:type="dxa"/>
            <w:tcBorders>
              <w:top w:val="nil"/>
              <w:left w:val="nil"/>
              <w:bottom w:val="nil"/>
              <w:right w:val="nil"/>
            </w:tcBorders>
            <w:shd w:val="clear" w:color="auto" w:fill="auto"/>
            <w:vAlign w:val="center"/>
            <w:hideMark/>
          </w:tcPr>
          <w:p w14:paraId="6501CE2D" w14:textId="77777777" w:rsidR="00F70E20" w:rsidRPr="002F5B60" w:rsidRDefault="00F70E20" w:rsidP="0099770F">
            <w:pPr>
              <w:rPr>
                <w:color w:val="000000"/>
                <w:sz w:val="22"/>
              </w:rPr>
            </w:pPr>
            <w:r w:rsidRPr="002F5B60">
              <w:rPr>
                <w:color w:val="000000"/>
                <w:sz w:val="22"/>
              </w:rPr>
              <w:t>10. Interactive media &amp; services</w:t>
            </w:r>
          </w:p>
        </w:tc>
        <w:tc>
          <w:tcPr>
            <w:tcW w:w="728" w:type="dxa"/>
            <w:tcBorders>
              <w:top w:val="nil"/>
              <w:left w:val="nil"/>
              <w:bottom w:val="nil"/>
              <w:right w:val="nil"/>
            </w:tcBorders>
            <w:vAlign w:val="center"/>
          </w:tcPr>
          <w:p w14:paraId="114F7755" w14:textId="77777777" w:rsidR="00F70E20" w:rsidRPr="002F5B60" w:rsidRDefault="00F70E20" w:rsidP="0099770F">
            <w:pPr>
              <w:jc w:val="center"/>
              <w:rPr>
                <w:color w:val="000000"/>
                <w:sz w:val="22"/>
                <w:szCs w:val="22"/>
              </w:rPr>
            </w:pPr>
            <w:r w:rsidRPr="002F5B60">
              <w:rPr>
                <w:color w:val="000000"/>
                <w:sz w:val="22"/>
                <w:szCs w:val="22"/>
              </w:rPr>
              <w:t>0.12</w:t>
            </w:r>
          </w:p>
        </w:tc>
        <w:tc>
          <w:tcPr>
            <w:tcW w:w="547" w:type="dxa"/>
            <w:tcBorders>
              <w:top w:val="nil"/>
              <w:left w:val="nil"/>
              <w:bottom w:val="nil"/>
              <w:right w:val="nil"/>
            </w:tcBorders>
            <w:vAlign w:val="center"/>
          </w:tcPr>
          <w:p w14:paraId="30A1A955" w14:textId="77777777" w:rsidR="00F70E20" w:rsidRPr="002F5B60" w:rsidRDefault="00F70E20" w:rsidP="0099770F">
            <w:pPr>
              <w:jc w:val="center"/>
              <w:rPr>
                <w:color w:val="000000"/>
                <w:sz w:val="22"/>
                <w:szCs w:val="22"/>
              </w:rPr>
            </w:pPr>
            <w:r w:rsidRPr="002F5B60">
              <w:rPr>
                <w:color w:val="000000"/>
                <w:sz w:val="22"/>
                <w:szCs w:val="22"/>
              </w:rPr>
              <w:t>0.33</w:t>
            </w:r>
          </w:p>
        </w:tc>
        <w:tc>
          <w:tcPr>
            <w:tcW w:w="637" w:type="dxa"/>
            <w:tcBorders>
              <w:top w:val="nil"/>
              <w:left w:val="nil"/>
              <w:bottom w:val="nil"/>
              <w:right w:val="nil"/>
            </w:tcBorders>
            <w:shd w:val="clear" w:color="auto" w:fill="auto"/>
            <w:noWrap/>
            <w:vAlign w:val="center"/>
          </w:tcPr>
          <w:p w14:paraId="44E9F739" w14:textId="77777777" w:rsidR="00F70E20" w:rsidRPr="002F5B60" w:rsidRDefault="00F70E20" w:rsidP="0099770F">
            <w:pPr>
              <w:jc w:val="center"/>
              <w:rPr>
                <w:color w:val="000000"/>
                <w:sz w:val="22"/>
              </w:rPr>
            </w:pPr>
            <w:r w:rsidRPr="002F5B60">
              <w:rPr>
                <w:color w:val="000000"/>
                <w:sz w:val="22"/>
                <w:szCs w:val="22"/>
              </w:rPr>
              <w:t>-0.11</w:t>
            </w:r>
          </w:p>
        </w:tc>
        <w:tc>
          <w:tcPr>
            <w:tcW w:w="637" w:type="dxa"/>
            <w:tcBorders>
              <w:top w:val="nil"/>
              <w:left w:val="nil"/>
              <w:bottom w:val="nil"/>
              <w:right w:val="nil"/>
            </w:tcBorders>
            <w:shd w:val="clear" w:color="auto" w:fill="auto"/>
            <w:noWrap/>
            <w:vAlign w:val="center"/>
          </w:tcPr>
          <w:p w14:paraId="5EBE1B46" w14:textId="77777777" w:rsidR="00F70E20" w:rsidRPr="002F5B60" w:rsidRDefault="00F70E20" w:rsidP="0099770F">
            <w:pPr>
              <w:jc w:val="center"/>
              <w:rPr>
                <w:color w:val="000000"/>
                <w:sz w:val="22"/>
              </w:rPr>
            </w:pPr>
            <w:r w:rsidRPr="002F5B60">
              <w:rPr>
                <w:color w:val="000000"/>
                <w:sz w:val="22"/>
                <w:szCs w:val="22"/>
              </w:rPr>
              <w:t>0.01</w:t>
            </w:r>
          </w:p>
        </w:tc>
        <w:tc>
          <w:tcPr>
            <w:tcW w:w="637" w:type="dxa"/>
            <w:tcBorders>
              <w:top w:val="nil"/>
              <w:left w:val="nil"/>
              <w:bottom w:val="nil"/>
              <w:right w:val="nil"/>
            </w:tcBorders>
            <w:shd w:val="clear" w:color="auto" w:fill="auto"/>
            <w:noWrap/>
            <w:vAlign w:val="center"/>
          </w:tcPr>
          <w:p w14:paraId="3E2936E7" w14:textId="77777777" w:rsidR="00F70E20" w:rsidRPr="002F5B60" w:rsidRDefault="00F70E20" w:rsidP="0099770F">
            <w:pPr>
              <w:jc w:val="center"/>
              <w:rPr>
                <w:color w:val="000000"/>
                <w:sz w:val="22"/>
              </w:rPr>
            </w:pPr>
            <w:r w:rsidRPr="002F5B60">
              <w:rPr>
                <w:color w:val="000000"/>
                <w:sz w:val="22"/>
                <w:szCs w:val="22"/>
              </w:rPr>
              <w:t>0.12</w:t>
            </w:r>
          </w:p>
        </w:tc>
        <w:tc>
          <w:tcPr>
            <w:tcW w:w="637" w:type="dxa"/>
            <w:tcBorders>
              <w:top w:val="nil"/>
              <w:left w:val="nil"/>
              <w:bottom w:val="nil"/>
              <w:right w:val="nil"/>
            </w:tcBorders>
            <w:shd w:val="clear" w:color="auto" w:fill="auto"/>
            <w:noWrap/>
            <w:vAlign w:val="center"/>
          </w:tcPr>
          <w:p w14:paraId="4E2C1A07" w14:textId="77777777" w:rsidR="00F70E20" w:rsidRPr="002F5B60" w:rsidRDefault="00F70E20" w:rsidP="0099770F">
            <w:pPr>
              <w:jc w:val="center"/>
              <w:rPr>
                <w:color w:val="000000"/>
                <w:sz w:val="22"/>
              </w:rPr>
            </w:pPr>
            <w:r w:rsidRPr="002F5B60">
              <w:rPr>
                <w:color w:val="000000"/>
                <w:sz w:val="22"/>
                <w:szCs w:val="22"/>
              </w:rPr>
              <w:t>-0.09</w:t>
            </w:r>
          </w:p>
        </w:tc>
        <w:tc>
          <w:tcPr>
            <w:tcW w:w="637" w:type="dxa"/>
            <w:tcBorders>
              <w:top w:val="nil"/>
              <w:left w:val="nil"/>
              <w:bottom w:val="nil"/>
              <w:right w:val="nil"/>
            </w:tcBorders>
            <w:shd w:val="clear" w:color="auto" w:fill="auto"/>
            <w:noWrap/>
            <w:vAlign w:val="center"/>
          </w:tcPr>
          <w:p w14:paraId="0CEF5DC8" w14:textId="77777777" w:rsidR="00F70E20" w:rsidRPr="002F5B60" w:rsidRDefault="00F70E20" w:rsidP="0099770F">
            <w:pPr>
              <w:jc w:val="center"/>
              <w:rPr>
                <w:color w:val="000000"/>
                <w:sz w:val="22"/>
              </w:rPr>
            </w:pPr>
            <w:r w:rsidRPr="002F5B60">
              <w:rPr>
                <w:color w:val="000000"/>
                <w:sz w:val="22"/>
                <w:szCs w:val="22"/>
              </w:rPr>
              <w:t>-0.11</w:t>
            </w:r>
          </w:p>
        </w:tc>
        <w:tc>
          <w:tcPr>
            <w:tcW w:w="637" w:type="dxa"/>
            <w:tcBorders>
              <w:top w:val="nil"/>
              <w:left w:val="nil"/>
              <w:bottom w:val="nil"/>
              <w:right w:val="nil"/>
            </w:tcBorders>
            <w:shd w:val="clear" w:color="auto" w:fill="auto"/>
            <w:noWrap/>
            <w:vAlign w:val="center"/>
          </w:tcPr>
          <w:p w14:paraId="55ED6FF6" w14:textId="77777777" w:rsidR="00F70E20" w:rsidRPr="002F5B60" w:rsidRDefault="00F70E20" w:rsidP="0099770F">
            <w:pPr>
              <w:jc w:val="center"/>
              <w:rPr>
                <w:color w:val="000000"/>
                <w:sz w:val="22"/>
              </w:rPr>
            </w:pPr>
            <w:r w:rsidRPr="002F5B60">
              <w:rPr>
                <w:color w:val="000000"/>
                <w:sz w:val="22"/>
                <w:szCs w:val="22"/>
              </w:rPr>
              <w:t>0.13</w:t>
            </w:r>
          </w:p>
        </w:tc>
        <w:tc>
          <w:tcPr>
            <w:tcW w:w="637" w:type="dxa"/>
            <w:tcBorders>
              <w:top w:val="nil"/>
              <w:left w:val="nil"/>
              <w:bottom w:val="nil"/>
              <w:right w:val="nil"/>
            </w:tcBorders>
            <w:shd w:val="clear" w:color="auto" w:fill="auto"/>
            <w:noWrap/>
            <w:vAlign w:val="center"/>
          </w:tcPr>
          <w:p w14:paraId="10ED13F3" w14:textId="77777777" w:rsidR="00F70E20" w:rsidRPr="002F5B60" w:rsidRDefault="00F70E20" w:rsidP="0099770F">
            <w:pPr>
              <w:jc w:val="center"/>
              <w:rPr>
                <w:color w:val="000000"/>
                <w:sz w:val="22"/>
              </w:rPr>
            </w:pPr>
            <w:r w:rsidRPr="002F5B60">
              <w:rPr>
                <w:color w:val="000000"/>
                <w:sz w:val="22"/>
                <w:szCs w:val="22"/>
              </w:rPr>
              <w:t>0.18</w:t>
            </w:r>
          </w:p>
        </w:tc>
        <w:tc>
          <w:tcPr>
            <w:tcW w:w="637" w:type="dxa"/>
            <w:tcBorders>
              <w:top w:val="nil"/>
              <w:left w:val="nil"/>
              <w:bottom w:val="nil"/>
              <w:right w:val="nil"/>
            </w:tcBorders>
            <w:shd w:val="clear" w:color="auto" w:fill="auto"/>
            <w:noWrap/>
            <w:vAlign w:val="center"/>
          </w:tcPr>
          <w:p w14:paraId="7223141C" w14:textId="77777777" w:rsidR="00F70E20" w:rsidRPr="002F5B60" w:rsidRDefault="00F70E20" w:rsidP="0099770F">
            <w:pPr>
              <w:jc w:val="center"/>
              <w:rPr>
                <w:color w:val="000000"/>
                <w:sz w:val="22"/>
              </w:rPr>
            </w:pPr>
            <w:r w:rsidRPr="002F5B60">
              <w:rPr>
                <w:color w:val="000000"/>
                <w:sz w:val="22"/>
                <w:szCs w:val="22"/>
              </w:rPr>
              <w:t>0.50</w:t>
            </w:r>
          </w:p>
        </w:tc>
        <w:tc>
          <w:tcPr>
            <w:tcW w:w="637" w:type="dxa"/>
            <w:tcBorders>
              <w:top w:val="nil"/>
              <w:left w:val="nil"/>
              <w:bottom w:val="nil"/>
              <w:right w:val="nil"/>
            </w:tcBorders>
            <w:shd w:val="clear" w:color="auto" w:fill="auto"/>
            <w:noWrap/>
            <w:vAlign w:val="center"/>
          </w:tcPr>
          <w:p w14:paraId="46C77746" w14:textId="77777777" w:rsidR="00F70E20" w:rsidRPr="002F5B60" w:rsidRDefault="00F70E20" w:rsidP="0099770F">
            <w:pPr>
              <w:jc w:val="center"/>
              <w:rPr>
                <w:color w:val="000000"/>
                <w:sz w:val="22"/>
              </w:rPr>
            </w:pPr>
            <w:r w:rsidRPr="002F5B60">
              <w:rPr>
                <w:color w:val="000000"/>
                <w:sz w:val="22"/>
                <w:szCs w:val="22"/>
              </w:rPr>
              <w:t>-0.30</w:t>
            </w:r>
          </w:p>
        </w:tc>
        <w:tc>
          <w:tcPr>
            <w:tcW w:w="637" w:type="dxa"/>
            <w:tcBorders>
              <w:top w:val="nil"/>
              <w:left w:val="nil"/>
              <w:bottom w:val="nil"/>
              <w:right w:val="nil"/>
            </w:tcBorders>
            <w:shd w:val="clear" w:color="auto" w:fill="auto"/>
            <w:noWrap/>
            <w:vAlign w:val="center"/>
          </w:tcPr>
          <w:p w14:paraId="6D379111" w14:textId="77777777" w:rsidR="00F70E20" w:rsidRPr="002F5B60" w:rsidRDefault="00F70E20" w:rsidP="0099770F">
            <w:pPr>
              <w:jc w:val="center"/>
              <w:rPr>
                <w:color w:val="000000"/>
                <w:sz w:val="22"/>
              </w:rPr>
            </w:pPr>
            <w:r w:rsidRPr="002F5B60">
              <w:rPr>
                <w:color w:val="000000"/>
                <w:sz w:val="22"/>
                <w:szCs w:val="22"/>
              </w:rPr>
              <w:t>1.00</w:t>
            </w:r>
          </w:p>
        </w:tc>
        <w:tc>
          <w:tcPr>
            <w:tcW w:w="637" w:type="dxa"/>
            <w:tcBorders>
              <w:top w:val="nil"/>
              <w:left w:val="nil"/>
              <w:bottom w:val="nil"/>
              <w:right w:val="nil"/>
            </w:tcBorders>
            <w:shd w:val="clear" w:color="auto" w:fill="auto"/>
            <w:noWrap/>
            <w:vAlign w:val="center"/>
          </w:tcPr>
          <w:p w14:paraId="07C534D0" w14:textId="77777777" w:rsidR="00F70E20" w:rsidRPr="002F5B60" w:rsidRDefault="00F70E20" w:rsidP="0099770F">
            <w:pPr>
              <w:jc w:val="center"/>
              <w:rPr>
                <w:color w:val="000000"/>
                <w:sz w:val="22"/>
              </w:rPr>
            </w:pPr>
          </w:p>
        </w:tc>
        <w:tc>
          <w:tcPr>
            <w:tcW w:w="637" w:type="dxa"/>
            <w:tcBorders>
              <w:top w:val="nil"/>
              <w:left w:val="nil"/>
              <w:bottom w:val="nil"/>
              <w:right w:val="nil"/>
            </w:tcBorders>
            <w:shd w:val="clear" w:color="auto" w:fill="auto"/>
            <w:noWrap/>
            <w:vAlign w:val="center"/>
          </w:tcPr>
          <w:p w14:paraId="3387B7F3"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78A8BB71"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7C2BD9E7" w14:textId="77777777" w:rsidR="00F70E20" w:rsidRPr="002F5B60" w:rsidRDefault="00F70E20" w:rsidP="0099770F">
            <w:pPr>
              <w:jc w:val="center"/>
              <w:rPr>
                <w:sz w:val="22"/>
              </w:rPr>
            </w:pPr>
          </w:p>
        </w:tc>
        <w:tc>
          <w:tcPr>
            <w:tcW w:w="541" w:type="dxa"/>
            <w:tcBorders>
              <w:top w:val="nil"/>
              <w:left w:val="nil"/>
              <w:bottom w:val="nil"/>
              <w:right w:val="nil"/>
            </w:tcBorders>
            <w:vAlign w:val="center"/>
          </w:tcPr>
          <w:p w14:paraId="39537CDD" w14:textId="77777777" w:rsidR="00F70E20" w:rsidRPr="002F5B60" w:rsidRDefault="00F70E20" w:rsidP="0099770F">
            <w:pPr>
              <w:jc w:val="center"/>
              <w:rPr>
                <w:sz w:val="22"/>
              </w:rPr>
            </w:pPr>
          </w:p>
        </w:tc>
      </w:tr>
      <w:tr w:rsidR="00F70E20" w:rsidRPr="001C5555" w14:paraId="1C7A1711" w14:textId="77777777" w:rsidTr="0099770F">
        <w:trPr>
          <w:trHeight w:val="290"/>
        </w:trPr>
        <w:tc>
          <w:tcPr>
            <w:tcW w:w="2023" w:type="dxa"/>
            <w:tcBorders>
              <w:top w:val="nil"/>
              <w:left w:val="nil"/>
              <w:bottom w:val="nil"/>
              <w:right w:val="nil"/>
            </w:tcBorders>
            <w:shd w:val="clear" w:color="auto" w:fill="auto"/>
            <w:vAlign w:val="center"/>
            <w:hideMark/>
          </w:tcPr>
          <w:p w14:paraId="733D78DE" w14:textId="77777777" w:rsidR="00F70E20" w:rsidRPr="002F5B60" w:rsidRDefault="00F70E20" w:rsidP="0099770F">
            <w:pPr>
              <w:rPr>
                <w:color w:val="000000"/>
                <w:sz w:val="22"/>
              </w:rPr>
            </w:pPr>
            <w:r w:rsidRPr="002F5B60">
              <w:rPr>
                <w:color w:val="000000"/>
                <w:sz w:val="22"/>
              </w:rPr>
              <w:t>11. Systems software</w:t>
            </w:r>
          </w:p>
        </w:tc>
        <w:tc>
          <w:tcPr>
            <w:tcW w:w="728" w:type="dxa"/>
            <w:tcBorders>
              <w:top w:val="nil"/>
              <w:left w:val="nil"/>
              <w:bottom w:val="nil"/>
              <w:right w:val="nil"/>
            </w:tcBorders>
            <w:vAlign w:val="center"/>
          </w:tcPr>
          <w:p w14:paraId="1852D775" w14:textId="77777777" w:rsidR="00F70E20" w:rsidRPr="002F5B60" w:rsidRDefault="00F70E20" w:rsidP="0099770F">
            <w:pPr>
              <w:jc w:val="center"/>
              <w:rPr>
                <w:color w:val="000000"/>
                <w:sz w:val="22"/>
                <w:szCs w:val="22"/>
              </w:rPr>
            </w:pPr>
            <w:r w:rsidRPr="002F5B60">
              <w:rPr>
                <w:color w:val="000000"/>
                <w:sz w:val="22"/>
                <w:szCs w:val="22"/>
              </w:rPr>
              <w:t>0.12</w:t>
            </w:r>
          </w:p>
        </w:tc>
        <w:tc>
          <w:tcPr>
            <w:tcW w:w="547" w:type="dxa"/>
            <w:tcBorders>
              <w:top w:val="nil"/>
              <w:left w:val="nil"/>
              <w:bottom w:val="nil"/>
              <w:right w:val="nil"/>
            </w:tcBorders>
            <w:vAlign w:val="center"/>
          </w:tcPr>
          <w:p w14:paraId="3D207241" w14:textId="77777777" w:rsidR="00F70E20" w:rsidRPr="002F5B60" w:rsidRDefault="00F70E20" w:rsidP="0099770F">
            <w:pPr>
              <w:jc w:val="center"/>
              <w:rPr>
                <w:color w:val="000000"/>
                <w:sz w:val="22"/>
                <w:szCs w:val="22"/>
              </w:rPr>
            </w:pPr>
            <w:r w:rsidRPr="002F5B60">
              <w:rPr>
                <w:color w:val="000000"/>
                <w:sz w:val="22"/>
                <w:szCs w:val="22"/>
              </w:rPr>
              <w:t>0.33</w:t>
            </w:r>
          </w:p>
        </w:tc>
        <w:tc>
          <w:tcPr>
            <w:tcW w:w="637" w:type="dxa"/>
            <w:tcBorders>
              <w:top w:val="nil"/>
              <w:left w:val="nil"/>
              <w:bottom w:val="nil"/>
              <w:right w:val="nil"/>
            </w:tcBorders>
            <w:shd w:val="clear" w:color="auto" w:fill="auto"/>
            <w:noWrap/>
            <w:vAlign w:val="center"/>
          </w:tcPr>
          <w:p w14:paraId="20CBFDC8" w14:textId="77777777" w:rsidR="00F70E20" w:rsidRPr="002F5B60" w:rsidRDefault="00F70E20" w:rsidP="0099770F">
            <w:pPr>
              <w:jc w:val="center"/>
              <w:rPr>
                <w:color w:val="000000"/>
                <w:sz w:val="22"/>
              </w:rPr>
            </w:pPr>
            <w:r w:rsidRPr="002F5B60">
              <w:rPr>
                <w:color w:val="000000"/>
                <w:sz w:val="22"/>
                <w:szCs w:val="22"/>
              </w:rPr>
              <w:t>0.14</w:t>
            </w:r>
          </w:p>
        </w:tc>
        <w:tc>
          <w:tcPr>
            <w:tcW w:w="637" w:type="dxa"/>
            <w:tcBorders>
              <w:top w:val="nil"/>
              <w:left w:val="nil"/>
              <w:bottom w:val="nil"/>
              <w:right w:val="nil"/>
            </w:tcBorders>
            <w:shd w:val="clear" w:color="auto" w:fill="auto"/>
            <w:noWrap/>
            <w:vAlign w:val="center"/>
          </w:tcPr>
          <w:p w14:paraId="4CD3B726" w14:textId="77777777" w:rsidR="00F70E20" w:rsidRPr="002F5B60" w:rsidRDefault="00F70E20" w:rsidP="0099770F">
            <w:pPr>
              <w:jc w:val="center"/>
              <w:rPr>
                <w:color w:val="000000"/>
                <w:sz w:val="22"/>
              </w:rPr>
            </w:pPr>
            <w:r w:rsidRPr="002F5B60">
              <w:rPr>
                <w:color w:val="000000"/>
                <w:sz w:val="22"/>
                <w:szCs w:val="22"/>
              </w:rPr>
              <w:t>-0.12</w:t>
            </w:r>
          </w:p>
        </w:tc>
        <w:tc>
          <w:tcPr>
            <w:tcW w:w="637" w:type="dxa"/>
            <w:tcBorders>
              <w:top w:val="nil"/>
              <w:left w:val="nil"/>
              <w:bottom w:val="nil"/>
              <w:right w:val="nil"/>
            </w:tcBorders>
            <w:shd w:val="clear" w:color="auto" w:fill="auto"/>
            <w:noWrap/>
            <w:vAlign w:val="center"/>
          </w:tcPr>
          <w:p w14:paraId="7126104F" w14:textId="77777777" w:rsidR="00F70E20" w:rsidRPr="002F5B60" w:rsidRDefault="00F70E20" w:rsidP="0099770F">
            <w:pPr>
              <w:jc w:val="center"/>
              <w:rPr>
                <w:color w:val="000000"/>
                <w:sz w:val="22"/>
              </w:rPr>
            </w:pPr>
            <w:r w:rsidRPr="002F5B60">
              <w:rPr>
                <w:color w:val="000000"/>
                <w:sz w:val="22"/>
                <w:szCs w:val="22"/>
              </w:rPr>
              <w:t>0.00</w:t>
            </w:r>
          </w:p>
        </w:tc>
        <w:tc>
          <w:tcPr>
            <w:tcW w:w="637" w:type="dxa"/>
            <w:tcBorders>
              <w:top w:val="nil"/>
              <w:left w:val="nil"/>
              <w:bottom w:val="nil"/>
              <w:right w:val="nil"/>
            </w:tcBorders>
            <w:shd w:val="clear" w:color="auto" w:fill="auto"/>
            <w:noWrap/>
            <w:vAlign w:val="center"/>
          </w:tcPr>
          <w:p w14:paraId="5C4C88EE" w14:textId="77777777" w:rsidR="00F70E20" w:rsidRPr="002F5B60" w:rsidRDefault="00F70E20" w:rsidP="0099770F">
            <w:pPr>
              <w:jc w:val="center"/>
              <w:rPr>
                <w:color w:val="000000"/>
                <w:sz w:val="22"/>
              </w:rPr>
            </w:pPr>
            <w:r w:rsidRPr="002F5B60">
              <w:rPr>
                <w:color w:val="000000"/>
                <w:sz w:val="22"/>
                <w:szCs w:val="22"/>
              </w:rPr>
              <w:t>0.13</w:t>
            </w:r>
          </w:p>
        </w:tc>
        <w:tc>
          <w:tcPr>
            <w:tcW w:w="637" w:type="dxa"/>
            <w:tcBorders>
              <w:top w:val="nil"/>
              <w:left w:val="nil"/>
              <w:bottom w:val="nil"/>
              <w:right w:val="nil"/>
            </w:tcBorders>
            <w:shd w:val="clear" w:color="auto" w:fill="auto"/>
            <w:noWrap/>
            <w:vAlign w:val="center"/>
          </w:tcPr>
          <w:p w14:paraId="7F2DF164" w14:textId="77777777" w:rsidR="00F70E20" w:rsidRPr="002F5B60" w:rsidRDefault="00F70E20" w:rsidP="0099770F">
            <w:pPr>
              <w:jc w:val="center"/>
              <w:rPr>
                <w:color w:val="000000"/>
                <w:sz w:val="22"/>
              </w:rPr>
            </w:pPr>
            <w:r w:rsidRPr="002F5B60">
              <w:rPr>
                <w:color w:val="000000"/>
                <w:sz w:val="22"/>
                <w:szCs w:val="22"/>
              </w:rPr>
              <w:t>-0.07</w:t>
            </w:r>
          </w:p>
        </w:tc>
        <w:tc>
          <w:tcPr>
            <w:tcW w:w="637" w:type="dxa"/>
            <w:tcBorders>
              <w:top w:val="nil"/>
              <w:left w:val="nil"/>
              <w:bottom w:val="nil"/>
              <w:right w:val="nil"/>
            </w:tcBorders>
            <w:shd w:val="clear" w:color="auto" w:fill="auto"/>
            <w:noWrap/>
            <w:vAlign w:val="center"/>
          </w:tcPr>
          <w:p w14:paraId="20928EDA" w14:textId="77777777" w:rsidR="00F70E20" w:rsidRPr="002F5B60" w:rsidRDefault="00F70E20" w:rsidP="0099770F">
            <w:pPr>
              <w:jc w:val="center"/>
              <w:rPr>
                <w:color w:val="000000"/>
                <w:sz w:val="22"/>
              </w:rPr>
            </w:pPr>
            <w:r w:rsidRPr="002F5B60">
              <w:rPr>
                <w:color w:val="000000"/>
                <w:sz w:val="22"/>
                <w:szCs w:val="22"/>
              </w:rPr>
              <w:t>-0.11</w:t>
            </w:r>
          </w:p>
        </w:tc>
        <w:tc>
          <w:tcPr>
            <w:tcW w:w="637" w:type="dxa"/>
            <w:tcBorders>
              <w:top w:val="nil"/>
              <w:left w:val="nil"/>
              <w:bottom w:val="nil"/>
              <w:right w:val="nil"/>
            </w:tcBorders>
            <w:shd w:val="clear" w:color="auto" w:fill="auto"/>
            <w:noWrap/>
            <w:vAlign w:val="center"/>
          </w:tcPr>
          <w:p w14:paraId="317F0F0C" w14:textId="77777777" w:rsidR="00F70E20" w:rsidRPr="002F5B60" w:rsidRDefault="00F70E20" w:rsidP="0099770F">
            <w:pPr>
              <w:jc w:val="center"/>
              <w:rPr>
                <w:color w:val="000000"/>
                <w:sz w:val="22"/>
              </w:rPr>
            </w:pPr>
            <w:r w:rsidRPr="002F5B60">
              <w:rPr>
                <w:color w:val="000000"/>
                <w:sz w:val="22"/>
                <w:szCs w:val="22"/>
              </w:rPr>
              <w:t>0.23</w:t>
            </w:r>
          </w:p>
        </w:tc>
        <w:tc>
          <w:tcPr>
            <w:tcW w:w="637" w:type="dxa"/>
            <w:tcBorders>
              <w:top w:val="nil"/>
              <w:left w:val="nil"/>
              <w:bottom w:val="nil"/>
              <w:right w:val="nil"/>
            </w:tcBorders>
            <w:shd w:val="clear" w:color="auto" w:fill="auto"/>
            <w:noWrap/>
            <w:vAlign w:val="center"/>
          </w:tcPr>
          <w:p w14:paraId="72710EA1" w14:textId="77777777" w:rsidR="00F70E20" w:rsidRPr="002F5B60" w:rsidRDefault="00F70E20" w:rsidP="0099770F">
            <w:pPr>
              <w:jc w:val="center"/>
              <w:rPr>
                <w:color w:val="000000"/>
                <w:sz w:val="22"/>
              </w:rPr>
            </w:pPr>
            <w:r w:rsidRPr="002F5B60">
              <w:rPr>
                <w:color w:val="000000"/>
                <w:sz w:val="22"/>
                <w:szCs w:val="22"/>
              </w:rPr>
              <w:t>-0.15</w:t>
            </w:r>
          </w:p>
        </w:tc>
        <w:tc>
          <w:tcPr>
            <w:tcW w:w="637" w:type="dxa"/>
            <w:tcBorders>
              <w:top w:val="nil"/>
              <w:left w:val="nil"/>
              <w:bottom w:val="nil"/>
              <w:right w:val="nil"/>
            </w:tcBorders>
            <w:shd w:val="clear" w:color="auto" w:fill="auto"/>
            <w:noWrap/>
            <w:vAlign w:val="center"/>
          </w:tcPr>
          <w:p w14:paraId="764B3D6E" w14:textId="77777777" w:rsidR="00F70E20" w:rsidRPr="002F5B60" w:rsidRDefault="00F70E20" w:rsidP="0099770F">
            <w:pPr>
              <w:jc w:val="center"/>
              <w:rPr>
                <w:color w:val="000000"/>
                <w:sz w:val="22"/>
              </w:rPr>
            </w:pPr>
            <w:r w:rsidRPr="002F5B60">
              <w:rPr>
                <w:color w:val="000000"/>
                <w:sz w:val="22"/>
                <w:szCs w:val="22"/>
              </w:rPr>
              <w:t>-0.30</w:t>
            </w:r>
          </w:p>
        </w:tc>
        <w:tc>
          <w:tcPr>
            <w:tcW w:w="637" w:type="dxa"/>
            <w:tcBorders>
              <w:top w:val="nil"/>
              <w:left w:val="nil"/>
              <w:bottom w:val="nil"/>
              <w:right w:val="nil"/>
            </w:tcBorders>
            <w:shd w:val="clear" w:color="auto" w:fill="auto"/>
            <w:noWrap/>
            <w:vAlign w:val="center"/>
          </w:tcPr>
          <w:p w14:paraId="3F80AA69" w14:textId="77777777" w:rsidR="00F70E20" w:rsidRPr="002F5B60" w:rsidRDefault="00F70E20" w:rsidP="0099770F">
            <w:pPr>
              <w:jc w:val="center"/>
              <w:rPr>
                <w:color w:val="000000"/>
                <w:sz w:val="22"/>
              </w:rPr>
            </w:pPr>
            <w:r w:rsidRPr="002F5B60">
              <w:rPr>
                <w:color w:val="000000"/>
                <w:sz w:val="22"/>
                <w:szCs w:val="22"/>
              </w:rPr>
              <w:t>-0.14</w:t>
            </w:r>
          </w:p>
        </w:tc>
        <w:tc>
          <w:tcPr>
            <w:tcW w:w="637" w:type="dxa"/>
            <w:tcBorders>
              <w:top w:val="nil"/>
              <w:left w:val="nil"/>
              <w:bottom w:val="nil"/>
              <w:right w:val="nil"/>
            </w:tcBorders>
            <w:shd w:val="clear" w:color="auto" w:fill="auto"/>
            <w:noWrap/>
            <w:vAlign w:val="center"/>
          </w:tcPr>
          <w:p w14:paraId="461644F4" w14:textId="77777777" w:rsidR="00F70E20" w:rsidRPr="002F5B60" w:rsidRDefault="00F70E20" w:rsidP="0099770F">
            <w:pPr>
              <w:jc w:val="center"/>
              <w:rPr>
                <w:color w:val="000000"/>
                <w:sz w:val="22"/>
              </w:rPr>
            </w:pPr>
            <w:r w:rsidRPr="002F5B60">
              <w:rPr>
                <w:color w:val="000000"/>
                <w:sz w:val="22"/>
                <w:szCs w:val="22"/>
              </w:rPr>
              <w:t>1.00</w:t>
            </w:r>
          </w:p>
        </w:tc>
        <w:tc>
          <w:tcPr>
            <w:tcW w:w="637" w:type="dxa"/>
            <w:tcBorders>
              <w:top w:val="nil"/>
              <w:left w:val="nil"/>
              <w:bottom w:val="nil"/>
              <w:right w:val="nil"/>
            </w:tcBorders>
            <w:shd w:val="clear" w:color="auto" w:fill="auto"/>
            <w:noWrap/>
            <w:vAlign w:val="center"/>
          </w:tcPr>
          <w:p w14:paraId="5F601111" w14:textId="77777777" w:rsidR="00F70E20" w:rsidRPr="002F5B60" w:rsidRDefault="00F70E20" w:rsidP="0099770F">
            <w:pPr>
              <w:jc w:val="center"/>
              <w:rPr>
                <w:color w:val="000000"/>
                <w:sz w:val="22"/>
              </w:rPr>
            </w:pPr>
          </w:p>
        </w:tc>
        <w:tc>
          <w:tcPr>
            <w:tcW w:w="637" w:type="dxa"/>
            <w:tcBorders>
              <w:top w:val="nil"/>
              <w:left w:val="nil"/>
              <w:bottom w:val="nil"/>
              <w:right w:val="nil"/>
            </w:tcBorders>
            <w:shd w:val="clear" w:color="auto" w:fill="auto"/>
            <w:noWrap/>
            <w:vAlign w:val="center"/>
          </w:tcPr>
          <w:p w14:paraId="037B9D82" w14:textId="77777777" w:rsidR="00F70E20" w:rsidRPr="002F5B60" w:rsidRDefault="00F70E20" w:rsidP="0099770F">
            <w:pPr>
              <w:jc w:val="center"/>
              <w:rPr>
                <w:sz w:val="22"/>
              </w:rPr>
            </w:pPr>
          </w:p>
        </w:tc>
        <w:tc>
          <w:tcPr>
            <w:tcW w:w="637" w:type="dxa"/>
            <w:tcBorders>
              <w:top w:val="nil"/>
              <w:left w:val="nil"/>
              <w:bottom w:val="nil"/>
              <w:right w:val="nil"/>
            </w:tcBorders>
            <w:shd w:val="clear" w:color="auto" w:fill="auto"/>
            <w:noWrap/>
            <w:vAlign w:val="center"/>
          </w:tcPr>
          <w:p w14:paraId="38564005" w14:textId="77777777" w:rsidR="00F70E20" w:rsidRPr="002F5B60" w:rsidRDefault="00F70E20" w:rsidP="0099770F">
            <w:pPr>
              <w:jc w:val="center"/>
              <w:rPr>
                <w:sz w:val="22"/>
              </w:rPr>
            </w:pPr>
          </w:p>
        </w:tc>
        <w:tc>
          <w:tcPr>
            <w:tcW w:w="541" w:type="dxa"/>
            <w:tcBorders>
              <w:top w:val="nil"/>
              <w:left w:val="nil"/>
              <w:bottom w:val="nil"/>
              <w:right w:val="nil"/>
            </w:tcBorders>
            <w:vAlign w:val="center"/>
          </w:tcPr>
          <w:p w14:paraId="5FE2D7B5" w14:textId="77777777" w:rsidR="00F70E20" w:rsidRPr="002F5B60" w:rsidRDefault="00F70E20" w:rsidP="0099770F">
            <w:pPr>
              <w:jc w:val="center"/>
              <w:rPr>
                <w:sz w:val="22"/>
              </w:rPr>
            </w:pPr>
          </w:p>
        </w:tc>
      </w:tr>
      <w:tr w:rsidR="00F70E20" w:rsidRPr="001C5555" w14:paraId="14C5F1D7" w14:textId="77777777" w:rsidTr="0099770F">
        <w:trPr>
          <w:trHeight w:val="580"/>
        </w:trPr>
        <w:tc>
          <w:tcPr>
            <w:tcW w:w="2023" w:type="dxa"/>
            <w:tcBorders>
              <w:top w:val="nil"/>
              <w:left w:val="nil"/>
              <w:bottom w:val="nil"/>
              <w:right w:val="nil"/>
            </w:tcBorders>
            <w:shd w:val="clear" w:color="auto" w:fill="auto"/>
            <w:vAlign w:val="center"/>
            <w:hideMark/>
          </w:tcPr>
          <w:p w14:paraId="12D3B8A0" w14:textId="77777777" w:rsidR="00F70E20" w:rsidRPr="002F5B60" w:rsidRDefault="00F70E20" w:rsidP="0099770F">
            <w:pPr>
              <w:rPr>
                <w:color w:val="000000"/>
                <w:sz w:val="22"/>
              </w:rPr>
            </w:pPr>
            <w:r w:rsidRPr="002F5B60">
              <w:rPr>
                <w:color w:val="000000"/>
                <w:sz w:val="22"/>
              </w:rPr>
              <w:t>12. Internet &amp; direct retail</w:t>
            </w:r>
          </w:p>
        </w:tc>
        <w:tc>
          <w:tcPr>
            <w:tcW w:w="728" w:type="dxa"/>
            <w:tcBorders>
              <w:top w:val="nil"/>
              <w:left w:val="nil"/>
              <w:bottom w:val="nil"/>
              <w:right w:val="nil"/>
            </w:tcBorders>
            <w:vAlign w:val="center"/>
          </w:tcPr>
          <w:p w14:paraId="5F5E969C" w14:textId="77777777" w:rsidR="00F70E20" w:rsidRPr="002F5B60" w:rsidRDefault="00F70E20" w:rsidP="0099770F">
            <w:pPr>
              <w:jc w:val="center"/>
              <w:rPr>
                <w:color w:val="000000"/>
                <w:sz w:val="22"/>
                <w:szCs w:val="22"/>
              </w:rPr>
            </w:pPr>
            <w:r w:rsidRPr="002F5B60">
              <w:rPr>
                <w:color w:val="000000"/>
                <w:sz w:val="22"/>
                <w:szCs w:val="22"/>
              </w:rPr>
              <w:t>0.06</w:t>
            </w:r>
          </w:p>
        </w:tc>
        <w:tc>
          <w:tcPr>
            <w:tcW w:w="547" w:type="dxa"/>
            <w:tcBorders>
              <w:top w:val="nil"/>
              <w:left w:val="nil"/>
              <w:bottom w:val="nil"/>
              <w:right w:val="nil"/>
            </w:tcBorders>
            <w:vAlign w:val="center"/>
          </w:tcPr>
          <w:p w14:paraId="4AC4B943" w14:textId="77777777" w:rsidR="00F70E20" w:rsidRPr="002F5B60" w:rsidRDefault="00F70E20" w:rsidP="0099770F">
            <w:pPr>
              <w:jc w:val="center"/>
              <w:rPr>
                <w:color w:val="000000"/>
                <w:sz w:val="22"/>
                <w:szCs w:val="22"/>
              </w:rPr>
            </w:pPr>
            <w:r w:rsidRPr="002F5B60">
              <w:rPr>
                <w:color w:val="000000"/>
                <w:sz w:val="22"/>
                <w:szCs w:val="22"/>
              </w:rPr>
              <w:t>0.24</w:t>
            </w:r>
          </w:p>
        </w:tc>
        <w:tc>
          <w:tcPr>
            <w:tcW w:w="637" w:type="dxa"/>
            <w:tcBorders>
              <w:top w:val="nil"/>
              <w:left w:val="nil"/>
              <w:bottom w:val="nil"/>
              <w:right w:val="nil"/>
            </w:tcBorders>
            <w:shd w:val="clear" w:color="auto" w:fill="auto"/>
            <w:noWrap/>
            <w:vAlign w:val="center"/>
          </w:tcPr>
          <w:p w14:paraId="780409F7" w14:textId="77777777" w:rsidR="00F70E20" w:rsidRPr="002F5B60" w:rsidRDefault="00F70E20" w:rsidP="0099770F">
            <w:pPr>
              <w:jc w:val="center"/>
              <w:rPr>
                <w:color w:val="000000"/>
                <w:sz w:val="22"/>
              </w:rPr>
            </w:pPr>
            <w:r w:rsidRPr="002F5B60">
              <w:rPr>
                <w:color w:val="000000"/>
                <w:sz w:val="22"/>
                <w:szCs w:val="22"/>
              </w:rPr>
              <w:t>0.12</w:t>
            </w:r>
          </w:p>
        </w:tc>
        <w:tc>
          <w:tcPr>
            <w:tcW w:w="637" w:type="dxa"/>
            <w:tcBorders>
              <w:top w:val="nil"/>
              <w:left w:val="nil"/>
              <w:bottom w:val="nil"/>
              <w:right w:val="nil"/>
            </w:tcBorders>
            <w:shd w:val="clear" w:color="auto" w:fill="auto"/>
            <w:noWrap/>
            <w:vAlign w:val="center"/>
          </w:tcPr>
          <w:p w14:paraId="4DFF45A3" w14:textId="77777777" w:rsidR="00F70E20" w:rsidRPr="002F5B60" w:rsidRDefault="00F70E20" w:rsidP="0099770F">
            <w:pPr>
              <w:jc w:val="center"/>
              <w:rPr>
                <w:color w:val="000000"/>
                <w:sz w:val="22"/>
              </w:rPr>
            </w:pPr>
            <w:r w:rsidRPr="002F5B60">
              <w:rPr>
                <w:color w:val="000000"/>
                <w:sz w:val="22"/>
                <w:szCs w:val="22"/>
              </w:rPr>
              <w:t>0.07</w:t>
            </w:r>
          </w:p>
        </w:tc>
        <w:tc>
          <w:tcPr>
            <w:tcW w:w="637" w:type="dxa"/>
            <w:tcBorders>
              <w:top w:val="nil"/>
              <w:left w:val="nil"/>
              <w:bottom w:val="nil"/>
              <w:right w:val="nil"/>
            </w:tcBorders>
            <w:shd w:val="clear" w:color="auto" w:fill="auto"/>
            <w:noWrap/>
            <w:vAlign w:val="center"/>
          </w:tcPr>
          <w:p w14:paraId="551F5043" w14:textId="77777777" w:rsidR="00F70E20" w:rsidRPr="002F5B60" w:rsidRDefault="00F70E20" w:rsidP="0099770F">
            <w:pPr>
              <w:jc w:val="center"/>
              <w:rPr>
                <w:color w:val="000000"/>
                <w:sz w:val="22"/>
              </w:rPr>
            </w:pPr>
            <w:r w:rsidRPr="002F5B60">
              <w:rPr>
                <w:color w:val="000000"/>
                <w:sz w:val="22"/>
                <w:szCs w:val="22"/>
              </w:rPr>
              <w:t>-0.03</w:t>
            </w:r>
          </w:p>
        </w:tc>
        <w:tc>
          <w:tcPr>
            <w:tcW w:w="637" w:type="dxa"/>
            <w:tcBorders>
              <w:top w:val="nil"/>
              <w:left w:val="nil"/>
              <w:bottom w:val="nil"/>
              <w:right w:val="nil"/>
            </w:tcBorders>
            <w:shd w:val="clear" w:color="auto" w:fill="auto"/>
            <w:noWrap/>
            <w:vAlign w:val="center"/>
          </w:tcPr>
          <w:p w14:paraId="2D56F036" w14:textId="77777777" w:rsidR="00F70E20" w:rsidRPr="002F5B60" w:rsidRDefault="00F70E20" w:rsidP="0099770F">
            <w:pPr>
              <w:jc w:val="center"/>
              <w:rPr>
                <w:color w:val="000000"/>
                <w:sz w:val="22"/>
              </w:rPr>
            </w:pPr>
            <w:r w:rsidRPr="002F5B60">
              <w:rPr>
                <w:color w:val="000000"/>
                <w:sz w:val="22"/>
                <w:szCs w:val="22"/>
              </w:rPr>
              <w:t>-0.10</w:t>
            </w:r>
          </w:p>
        </w:tc>
        <w:tc>
          <w:tcPr>
            <w:tcW w:w="637" w:type="dxa"/>
            <w:tcBorders>
              <w:top w:val="nil"/>
              <w:left w:val="nil"/>
              <w:bottom w:val="nil"/>
              <w:right w:val="nil"/>
            </w:tcBorders>
            <w:shd w:val="clear" w:color="auto" w:fill="auto"/>
            <w:noWrap/>
            <w:vAlign w:val="center"/>
          </w:tcPr>
          <w:p w14:paraId="7B4A013C" w14:textId="77777777" w:rsidR="00F70E20" w:rsidRPr="002F5B60" w:rsidRDefault="00F70E20" w:rsidP="0099770F">
            <w:pPr>
              <w:jc w:val="center"/>
              <w:rPr>
                <w:color w:val="000000"/>
                <w:sz w:val="22"/>
              </w:rPr>
            </w:pPr>
            <w:r w:rsidRPr="002F5B60">
              <w:rPr>
                <w:color w:val="000000"/>
                <w:sz w:val="22"/>
                <w:szCs w:val="22"/>
              </w:rPr>
              <w:t>-0.09</w:t>
            </w:r>
          </w:p>
        </w:tc>
        <w:tc>
          <w:tcPr>
            <w:tcW w:w="637" w:type="dxa"/>
            <w:tcBorders>
              <w:top w:val="nil"/>
              <w:left w:val="nil"/>
              <w:bottom w:val="nil"/>
              <w:right w:val="nil"/>
            </w:tcBorders>
            <w:shd w:val="clear" w:color="auto" w:fill="auto"/>
            <w:noWrap/>
            <w:vAlign w:val="center"/>
          </w:tcPr>
          <w:p w14:paraId="611E4EC9" w14:textId="77777777" w:rsidR="00F70E20" w:rsidRPr="002F5B60" w:rsidRDefault="00F70E20" w:rsidP="0099770F">
            <w:pPr>
              <w:jc w:val="center"/>
              <w:rPr>
                <w:color w:val="000000"/>
                <w:sz w:val="22"/>
              </w:rPr>
            </w:pPr>
            <w:r w:rsidRPr="002F5B60">
              <w:rPr>
                <w:color w:val="000000"/>
                <w:sz w:val="22"/>
                <w:szCs w:val="22"/>
              </w:rPr>
              <w:t>0.12</w:t>
            </w:r>
          </w:p>
        </w:tc>
        <w:tc>
          <w:tcPr>
            <w:tcW w:w="637" w:type="dxa"/>
            <w:tcBorders>
              <w:top w:val="nil"/>
              <w:left w:val="nil"/>
              <w:bottom w:val="nil"/>
              <w:right w:val="nil"/>
            </w:tcBorders>
            <w:shd w:val="clear" w:color="auto" w:fill="auto"/>
            <w:noWrap/>
            <w:vAlign w:val="center"/>
          </w:tcPr>
          <w:p w14:paraId="62C155C0" w14:textId="77777777" w:rsidR="00F70E20" w:rsidRPr="002F5B60" w:rsidRDefault="00F70E20" w:rsidP="0099770F">
            <w:pPr>
              <w:jc w:val="center"/>
              <w:rPr>
                <w:color w:val="000000"/>
                <w:sz w:val="22"/>
              </w:rPr>
            </w:pPr>
            <w:r w:rsidRPr="002F5B60">
              <w:rPr>
                <w:color w:val="000000"/>
                <w:sz w:val="22"/>
                <w:szCs w:val="22"/>
              </w:rPr>
              <w:t>0.08</w:t>
            </w:r>
          </w:p>
        </w:tc>
        <w:tc>
          <w:tcPr>
            <w:tcW w:w="637" w:type="dxa"/>
            <w:tcBorders>
              <w:top w:val="nil"/>
              <w:left w:val="nil"/>
              <w:bottom w:val="nil"/>
              <w:right w:val="nil"/>
            </w:tcBorders>
            <w:shd w:val="clear" w:color="auto" w:fill="auto"/>
            <w:noWrap/>
            <w:vAlign w:val="center"/>
          </w:tcPr>
          <w:p w14:paraId="2E0393B2" w14:textId="77777777" w:rsidR="00F70E20" w:rsidRPr="002F5B60" w:rsidRDefault="00F70E20" w:rsidP="0099770F">
            <w:pPr>
              <w:jc w:val="center"/>
              <w:rPr>
                <w:color w:val="000000"/>
                <w:sz w:val="22"/>
              </w:rPr>
            </w:pPr>
            <w:r w:rsidRPr="002F5B60">
              <w:rPr>
                <w:color w:val="000000"/>
                <w:sz w:val="22"/>
                <w:szCs w:val="22"/>
              </w:rPr>
              <w:t>0.35</w:t>
            </w:r>
          </w:p>
        </w:tc>
        <w:tc>
          <w:tcPr>
            <w:tcW w:w="637" w:type="dxa"/>
            <w:tcBorders>
              <w:top w:val="nil"/>
              <w:left w:val="nil"/>
              <w:bottom w:val="nil"/>
              <w:right w:val="nil"/>
            </w:tcBorders>
            <w:shd w:val="clear" w:color="auto" w:fill="auto"/>
            <w:noWrap/>
            <w:vAlign w:val="center"/>
          </w:tcPr>
          <w:p w14:paraId="5A45F18C" w14:textId="77777777" w:rsidR="00F70E20" w:rsidRPr="002F5B60" w:rsidRDefault="00F70E20" w:rsidP="0099770F">
            <w:pPr>
              <w:jc w:val="center"/>
              <w:rPr>
                <w:color w:val="000000"/>
                <w:sz w:val="22"/>
              </w:rPr>
            </w:pPr>
            <w:r w:rsidRPr="002F5B60">
              <w:rPr>
                <w:color w:val="000000"/>
                <w:sz w:val="22"/>
                <w:szCs w:val="22"/>
              </w:rPr>
              <w:t>-0.20</w:t>
            </w:r>
          </w:p>
        </w:tc>
        <w:tc>
          <w:tcPr>
            <w:tcW w:w="637" w:type="dxa"/>
            <w:tcBorders>
              <w:top w:val="nil"/>
              <w:left w:val="nil"/>
              <w:bottom w:val="nil"/>
              <w:right w:val="nil"/>
            </w:tcBorders>
            <w:shd w:val="clear" w:color="auto" w:fill="auto"/>
            <w:noWrap/>
            <w:vAlign w:val="center"/>
          </w:tcPr>
          <w:p w14:paraId="4850788D" w14:textId="77777777" w:rsidR="00F70E20" w:rsidRPr="002F5B60" w:rsidRDefault="00F70E20" w:rsidP="0099770F">
            <w:pPr>
              <w:jc w:val="center"/>
              <w:rPr>
                <w:color w:val="000000"/>
                <w:sz w:val="22"/>
              </w:rPr>
            </w:pPr>
            <w:r w:rsidRPr="002F5B60">
              <w:rPr>
                <w:color w:val="000000"/>
                <w:sz w:val="22"/>
                <w:szCs w:val="22"/>
              </w:rPr>
              <w:t>-0.09</w:t>
            </w:r>
          </w:p>
        </w:tc>
        <w:tc>
          <w:tcPr>
            <w:tcW w:w="637" w:type="dxa"/>
            <w:tcBorders>
              <w:top w:val="nil"/>
              <w:left w:val="nil"/>
              <w:bottom w:val="nil"/>
              <w:right w:val="nil"/>
            </w:tcBorders>
            <w:shd w:val="clear" w:color="auto" w:fill="auto"/>
            <w:noWrap/>
            <w:vAlign w:val="center"/>
          </w:tcPr>
          <w:p w14:paraId="522D9A41" w14:textId="77777777" w:rsidR="00F70E20" w:rsidRPr="002F5B60" w:rsidRDefault="00F70E20" w:rsidP="0099770F">
            <w:pPr>
              <w:jc w:val="center"/>
              <w:rPr>
                <w:color w:val="000000"/>
                <w:sz w:val="22"/>
              </w:rPr>
            </w:pPr>
            <w:r w:rsidRPr="002F5B60">
              <w:rPr>
                <w:color w:val="000000"/>
                <w:sz w:val="22"/>
                <w:szCs w:val="22"/>
              </w:rPr>
              <w:t>-0.09</w:t>
            </w:r>
          </w:p>
        </w:tc>
        <w:tc>
          <w:tcPr>
            <w:tcW w:w="637" w:type="dxa"/>
            <w:tcBorders>
              <w:top w:val="nil"/>
              <w:left w:val="nil"/>
              <w:bottom w:val="nil"/>
              <w:right w:val="nil"/>
            </w:tcBorders>
            <w:shd w:val="clear" w:color="auto" w:fill="auto"/>
            <w:noWrap/>
            <w:vAlign w:val="center"/>
          </w:tcPr>
          <w:p w14:paraId="3A839212" w14:textId="77777777" w:rsidR="00F70E20" w:rsidRPr="002F5B60" w:rsidRDefault="00F70E20" w:rsidP="0099770F">
            <w:pPr>
              <w:jc w:val="center"/>
              <w:rPr>
                <w:color w:val="000000"/>
                <w:sz w:val="22"/>
              </w:rPr>
            </w:pPr>
            <w:r w:rsidRPr="002F5B60">
              <w:rPr>
                <w:color w:val="000000"/>
                <w:sz w:val="22"/>
                <w:szCs w:val="22"/>
              </w:rPr>
              <w:t>1.00</w:t>
            </w:r>
          </w:p>
        </w:tc>
        <w:tc>
          <w:tcPr>
            <w:tcW w:w="637" w:type="dxa"/>
            <w:tcBorders>
              <w:top w:val="nil"/>
              <w:left w:val="nil"/>
              <w:bottom w:val="nil"/>
              <w:right w:val="nil"/>
            </w:tcBorders>
            <w:shd w:val="clear" w:color="auto" w:fill="auto"/>
            <w:noWrap/>
            <w:vAlign w:val="center"/>
          </w:tcPr>
          <w:p w14:paraId="648789F0" w14:textId="77777777" w:rsidR="00F70E20" w:rsidRPr="002F5B60" w:rsidRDefault="00F70E20" w:rsidP="0099770F">
            <w:pPr>
              <w:jc w:val="center"/>
              <w:rPr>
                <w:color w:val="000000"/>
                <w:sz w:val="22"/>
              </w:rPr>
            </w:pPr>
          </w:p>
        </w:tc>
        <w:tc>
          <w:tcPr>
            <w:tcW w:w="637" w:type="dxa"/>
            <w:tcBorders>
              <w:top w:val="nil"/>
              <w:left w:val="nil"/>
              <w:bottom w:val="nil"/>
              <w:right w:val="nil"/>
            </w:tcBorders>
            <w:shd w:val="clear" w:color="auto" w:fill="auto"/>
            <w:noWrap/>
            <w:vAlign w:val="center"/>
          </w:tcPr>
          <w:p w14:paraId="3EC3AE61" w14:textId="77777777" w:rsidR="00F70E20" w:rsidRPr="002F5B60" w:rsidRDefault="00F70E20" w:rsidP="0099770F">
            <w:pPr>
              <w:jc w:val="center"/>
              <w:rPr>
                <w:sz w:val="22"/>
              </w:rPr>
            </w:pPr>
          </w:p>
        </w:tc>
        <w:tc>
          <w:tcPr>
            <w:tcW w:w="541" w:type="dxa"/>
            <w:tcBorders>
              <w:top w:val="nil"/>
              <w:left w:val="nil"/>
              <w:bottom w:val="nil"/>
              <w:right w:val="nil"/>
            </w:tcBorders>
            <w:vAlign w:val="center"/>
          </w:tcPr>
          <w:p w14:paraId="7405922E" w14:textId="77777777" w:rsidR="00F70E20" w:rsidRPr="002F5B60" w:rsidRDefault="00F70E20" w:rsidP="0099770F">
            <w:pPr>
              <w:jc w:val="center"/>
              <w:rPr>
                <w:sz w:val="22"/>
              </w:rPr>
            </w:pPr>
          </w:p>
        </w:tc>
      </w:tr>
      <w:tr w:rsidR="00F70E20" w:rsidRPr="001C5555" w14:paraId="586BD76B" w14:textId="77777777" w:rsidTr="0099770F">
        <w:trPr>
          <w:trHeight w:val="580"/>
        </w:trPr>
        <w:tc>
          <w:tcPr>
            <w:tcW w:w="2023" w:type="dxa"/>
            <w:tcBorders>
              <w:top w:val="nil"/>
              <w:left w:val="nil"/>
              <w:bottom w:val="nil"/>
              <w:right w:val="nil"/>
            </w:tcBorders>
            <w:shd w:val="clear" w:color="auto" w:fill="auto"/>
            <w:vAlign w:val="center"/>
            <w:hideMark/>
          </w:tcPr>
          <w:p w14:paraId="08DB73CA" w14:textId="77777777" w:rsidR="00F70E20" w:rsidRPr="002F5B60" w:rsidRDefault="00F70E20" w:rsidP="0099770F">
            <w:pPr>
              <w:rPr>
                <w:color w:val="000000"/>
                <w:sz w:val="22"/>
              </w:rPr>
            </w:pPr>
            <w:r w:rsidRPr="002F5B60">
              <w:rPr>
                <w:color w:val="000000"/>
                <w:sz w:val="22"/>
              </w:rPr>
              <w:t>13. Health care technology</w:t>
            </w:r>
          </w:p>
        </w:tc>
        <w:tc>
          <w:tcPr>
            <w:tcW w:w="728" w:type="dxa"/>
            <w:tcBorders>
              <w:top w:val="nil"/>
              <w:left w:val="nil"/>
              <w:bottom w:val="nil"/>
              <w:right w:val="nil"/>
            </w:tcBorders>
            <w:vAlign w:val="center"/>
          </w:tcPr>
          <w:p w14:paraId="65F5C613" w14:textId="77777777" w:rsidR="00F70E20" w:rsidRPr="002F5B60" w:rsidRDefault="00F70E20" w:rsidP="0099770F">
            <w:pPr>
              <w:jc w:val="center"/>
              <w:rPr>
                <w:color w:val="000000"/>
                <w:sz w:val="22"/>
                <w:szCs w:val="22"/>
              </w:rPr>
            </w:pPr>
            <w:r w:rsidRPr="002F5B60">
              <w:rPr>
                <w:color w:val="000000"/>
                <w:sz w:val="22"/>
                <w:szCs w:val="22"/>
              </w:rPr>
              <w:t>0.05</w:t>
            </w:r>
          </w:p>
        </w:tc>
        <w:tc>
          <w:tcPr>
            <w:tcW w:w="547" w:type="dxa"/>
            <w:tcBorders>
              <w:top w:val="nil"/>
              <w:left w:val="nil"/>
              <w:bottom w:val="nil"/>
              <w:right w:val="nil"/>
            </w:tcBorders>
            <w:vAlign w:val="center"/>
          </w:tcPr>
          <w:p w14:paraId="20BCC1DD" w14:textId="77777777" w:rsidR="00F70E20" w:rsidRPr="002F5B60" w:rsidRDefault="00F70E20" w:rsidP="0099770F">
            <w:pPr>
              <w:jc w:val="center"/>
              <w:rPr>
                <w:color w:val="000000"/>
                <w:sz w:val="22"/>
                <w:szCs w:val="22"/>
              </w:rPr>
            </w:pPr>
            <w:r w:rsidRPr="002F5B60">
              <w:rPr>
                <w:color w:val="000000"/>
                <w:sz w:val="22"/>
                <w:szCs w:val="22"/>
              </w:rPr>
              <w:t>0.23</w:t>
            </w:r>
          </w:p>
        </w:tc>
        <w:tc>
          <w:tcPr>
            <w:tcW w:w="637" w:type="dxa"/>
            <w:tcBorders>
              <w:top w:val="nil"/>
              <w:left w:val="nil"/>
              <w:bottom w:val="nil"/>
              <w:right w:val="nil"/>
            </w:tcBorders>
            <w:shd w:val="clear" w:color="auto" w:fill="auto"/>
            <w:noWrap/>
            <w:vAlign w:val="center"/>
          </w:tcPr>
          <w:p w14:paraId="0465F18A" w14:textId="77777777" w:rsidR="00F70E20" w:rsidRPr="002F5B60" w:rsidRDefault="00F70E20" w:rsidP="0099770F">
            <w:pPr>
              <w:jc w:val="center"/>
              <w:rPr>
                <w:color w:val="000000"/>
                <w:sz w:val="22"/>
              </w:rPr>
            </w:pPr>
            <w:r w:rsidRPr="002F5B60">
              <w:rPr>
                <w:color w:val="000000"/>
                <w:sz w:val="22"/>
                <w:szCs w:val="22"/>
              </w:rPr>
              <w:t>-0.17</w:t>
            </w:r>
          </w:p>
        </w:tc>
        <w:tc>
          <w:tcPr>
            <w:tcW w:w="637" w:type="dxa"/>
            <w:tcBorders>
              <w:top w:val="nil"/>
              <w:left w:val="nil"/>
              <w:bottom w:val="nil"/>
              <w:right w:val="nil"/>
            </w:tcBorders>
            <w:shd w:val="clear" w:color="auto" w:fill="auto"/>
            <w:noWrap/>
            <w:vAlign w:val="center"/>
          </w:tcPr>
          <w:p w14:paraId="55EFDBBA" w14:textId="77777777" w:rsidR="00F70E20" w:rsidRPr="002F5B60" w:rsidRDefault="00F70E20" w:rsidP="0099770F">
            <w:pPr>
              <w:jc w:val="center"/>
              <w:rPr>
                <w:color w:val="000000"/>
                <w:sz w:val="22"/>
              </w:rPr>
            </w:pPr>
            <w:r w:rsidRPr="002F5B60">
              <w:rPr>
                <w:color w:val="000000"/>
                <w:sz w:val="22"/>
                <w:szCs w:val="22"/>
              </w:rPr>
              <w:t>-0.08</w:t>
            </w:r>
          </w:p>
        </w:tc>
        <w:tc>
          <w:tcPr>
            <w:tcW w:w="637" w:type="dxa"/>
            <w:tcBorders>
              <w:top w:val="nil"/>
              <w:left w:val="nil"/>
              <w:bottom w:val="nil"/>
              <w:right w:val="nil"/>
            </w:tcBorders>
            <w:shd w:val="clear" w:color="auto" w:fill="auto"/>
            <w:noWrap/>
            <w:vAlign w:val="center"/>
          </w:tcPr>
          <w:p w14:paraId="6DCD48EE" w14:textId="77777777" w:rsidR="00F70E20" w:rsidRPr="002F5B60" w:rsidRDefault="00F70E20" w:rsidP="0099770F">
            <w:pPr>
              <w:jc w:val="center"/>
              <w:rPr>
                <w:color w:val="000000"/>
                <w:sz w:val="22"/>
              </w:rPr>
            </w:pPr>
            <w:r w:rsidRPr="002F5B60">
              <w:rPr>
                <w:color w:val="000000"/>
                <w:sz w:val="22"/>
                <w:szCs w:val="22"/>
              </w:rPr>
              <w:t>-0.01</w:t>
            </w:r>
          </w:p>
        </w:tc>
        <w:tc>
          <w:tcPr>
            <w:tcW w:w="637" w:type="dxa"/>
            <w:tcBorders>
              <w:top w:val="nil"/>
              <w:left w:val="nil"/>
              <w:bottom w:val="nil"/>
              <w:right w:val="nil"/>
            </w:tcBorders>
            <w:shd w:val="clear" w:color="auto" w:fill="auto"/>
            <w:noWrap/>
            <w:vAlign w:val="center"/>
          </w:tcPr>
          <w:p w14:paraId="7773D4E8" w14:textId="77777777" w:rsidR="00F70E20" w:rsidRPr="002F5B60" w:rsidRDefault="00F70E20" w:rsidP="0099770F">
            <w:pPr>
              <w:jc w:val="center"/>
              <w:rPr>
                <w:color w:val="000000"/>
                <w:sz w:val="22"/>
              </w:rPr>
            </w:pPr>
            <w:r w:rsidRPr="002F5B60">
              <w:rPr>
                <w:color w:val="000000"/>
                <w:sz w:val="22"/>
                <w:szCs w:val="22"/>
              </w:rPr>
              <w:t>-0.03</w:t>
            </w:r>
          </w:p>
        </w:tc>
        <w:tc>
          <w:tcPr>
            <w:tcW w:w="637" w:type="dxa"/>
            <w:tcBorders>
              <w:top w:val="nil"/>
              <w:left w:val="nil"/>
              <w:bottom w:val="nil"/>
              <w:right w:val="nil"/>
            </w:tcBorders>
            <w:shd w:val="clear" w:color="auto" w:fill="auto"/>
            <w:noWrap/>
            <w:vAlign w:val="center"/>
          </w:tcPr>
          <w:p w14:paraId="31BBD1A0" w14:textId="77777777" w:rsidR="00F70E20" w:rsidRPr="002F5B60" w:rsidRDefault="00F70E20" w:rsidP="0099770F">
            <w:pPr>
              <w:jc w:val="center"/>
              <w:rPr>
                <w:color w:val="000000"/>
                <w:sz w:val="22"/>
              </w:rPr>
            </w:pPr>
            <w:r w:rsidRPr="002F5B60">
              <w:rPr>
                <w:color w:val="000000"/>
                <w:sz w:val="22"/>
                <w:szCs w:val="22"/>
              </w:rPr>
              <w:t>0.02</w:t>
            </w:r>
          </w:p>
        </w:tc>
        <w:tc>
          <w:tcPr>
            <w:tcW w:w="637" w:type="dxa"/>
            <w:tcBorders>
              <w:top w:val="nil"/>
              <w:left w:val="nil"/>
              <w:bottom w:val="nil"/>
              <w:right w:val="nil"/>
            </w:tcBorders>
            <w:shd w:val="clear" w:color="auto" w:fill="auto"/>
            <w:noWrap/>
            <w:vAlign w:val="center"/>
          </w:tcPr>
          <w:p w14:paraId="0D65BF05" w14:textId="77777777" w:rsidR="00F70E20" w:rsidRPr="002F5B60" w:rsidRDefault="00F70E20" w:rsidP="0099770F">
            <w:pPr>
              <w:jc w:val="center"/>
              <w:rPr>
                <w:color w:val="000000"/>
                <w:sz w:val="22"/>
              </w:rPr>
            </w:pPr>
            <w:r w:rsidRPr="002F5B60">
              <w:rPr>
                <w:color w:val="000000"/>
                <w:sz w:val="22"/>
                <w:szCs w:val="22"/>
              </w:rPr>
              <w:t>-0.03</w:t>
            </w:r>
          </w:p>
        </w:tc>
        <w:tc>
          <w:tcPr>
            <w:tcW w:w="637" w:type="dxa"/>
            <w:tcBorders>
              <w:top w:val="nil"/>
              <w:left w:val="nil"/>
              <w:bottom w:val="nil"/>
              <w:right w:val="nil"/>
            </w:tcBorders>
            <w:shd w:val="clear" w:color="auto" w:fill="auto"/>
            <w:noWrap/>
            <w:vAlign w:val="center"/>
          </w:tcPr>
          <w:p w14:paraId="135DD8C5" w14:textId="77777777" w:rsidR="00F70E20" w:rsidRPr="002F5B60" w:rsidRDefault="00F70E20" w:rsidP="0099770F">
            <w:pPr>
              <w:jc w:val="center"/>
              <w:rPr>
                <w:color w:val="000000"/>
                <w:sz w:val="22"/>
              </w:rPr>
            </w:pPr>
            <w:r w:rsidRPr="002F5B60">
              <w:rPr>
                <w:color w:val="000000"/>
                <w:sz w:val="22"/>
                <w:szCs w:val="22"/>
              </w:rPr>
              <w:t>-0.16</w:t>
            </w:r>
          </w:p>
        </w:tc>
        <w:tc>
          <w:tcPr>
            <w:tcW w:w="637" w:type="dxa"/>
            <w:tcBorders>
              <w:top w:val="nil"/>
              <w:left w:val="nil"/>
              <w:bottom w:val="nil"/>
              <w:right w:val="nil"/>
            </w:tcBorders>
            <w:shd w:val="clear" w:color="auto" w:fill="auto"/>
            <w:noWrap/>
            <w:vAlign w:val="center"/>
          </w:tcPr>
          <w:p w14:paraId="1251A8A7" w14:textId="77777777" w:rsidR="00F70E20" w:rsidRPr="002F5B60" w:rsidRDefault="00F70E20" w:rsidP="0099770F">
            <w:pPr>
              <w:jc w:val="center"/>
              <w:rPr>
                <w:color w:val="000000"/>
                <w:sz w:val="22"/>
              </w:rPr>
            </w:pPr>
            <w:r w:rsidRPr="002F5B60">
              <w:rPr>
                <w:color w:val="000000"/>
                <w:sz w:val="22"/>
                <w:szCs w:val="22"/>
              </w:rPr>
              <w:t>-0.09</w:t>
            </w:r>
          </w:p>
        </w:tc>
        <w:tc>
          <w:tcPr>
            <w:tcW w:w="637" w:type="dxa"/>
            <w:tcBorders>
              <w:top w:val="nil"/>
              <w:left w:val="nil"/>
              <w:bottom w:val="nil"/>
              <w:right w:val="nil"/>
            </w:tcBorders>
            <w:shd w:val="clear" w:color="auto" w:fill="auto"/>
            <w:noWrap/>
            <w:vAlign w:val="center"/>
          </w:tcPr>
          <w:p w14:paraId="61BFD327" w14:textId="77777777" w:rsidR="00F70E20" w:rsidRPr="002F5B60" w:rsidRDefault="00F70E20" w:rsidP="0099770F">
            <w:pPr>
              <w:jc w:val="center"/>
              <w:rPr>
                <w:color w:val="000000"/>
                <w:sz w:val="22"/>
              </w:rPr>
            </w:pPr>
            <w:r w:rsidRPr="002F5B60">
              <w:rPr>
                <w:color w:val="000000"/>
                <w:sz w:val="22"/>
                <w:szCs w:val="22"/>
              </w:rPr>
              <w:t>-0.19</w:t>
            </w:r>
          </w:p>
        </w:tc>
        <w:tc>
          <w:tcPr>
            <w:tcW w:w="637" w:type="dxa"/>
            <w:tcBorders>
              <w:top w:val="nil"/>
              <w:left w:val="nil"/>
              <w:bottom w:val="nil"/>
              <w:right w:val="nil"/>
            </w:tcBorders>
            <w:shd w:val="clear" w:color="auto" w:fill="auto"/>
            <w:noWrap/>
            <w:vAlign w:val="center"/>
          </w:tcPr>
          <w:p w14:paraId="171459C2" w14:textId="77777777" w:rsidR="00F70E20" w:rsidRPr="002F5B60" w:rsidRDefault="00F70E20" w:rsidP="0099770F">
            <w:pPr>
              <w:jc w:val="center"/>
              <w:rPr>
                <w:color w:val="000000"/>
                <w:sz w:val="22"/>
              </w:rPr>
            </w:pPr>
            <w:r w:rsidRPr="002F5B60">
              <w:rPr>
                <w:color w:val="000000"/>
                <w:sz w:val="22"/>
                <w:szCs w:val="22"/>
              </w:rPr>
              <w:t>-0.09</w:t>
            </w:r>
          </w:p>
        </w:tc>
        <w:tc>
          <w:tcPr>
            <w:tcW w:w="637" w:type="dxa"/>
            <w:tcBorders>
              <w:top w:val="nil"/>
              <w:left w:val="nil"/>
              <w:bottom w:val="nil"/>
              <w:right w:val="nil"/>
            </w:tcBorders>
            <w:shd w:val="clear" w:color="auto" w:fill="auto"/>
            <w:noWrap/>
            <w:vAlign w:val="center"/>
          </w:tcPr>
          <w:p w14:paraId="02C4321C" w14:textId="77777777" w:rsidR="00F70E20" w:rsidRPr="002F5B60" w:rsidRDefault="00F70E20" w:rsidP="0099770F">
            <w:pPr>
              <w:jc w:val="center"/>
              <w:rPr>
                <w:color w:val="000000"/>
                <w:sz w:val="22"/>
              </w:rPr>
            </w:pPr>
            <w:r w:rsidRPr="002F5B60">
              <w:rPr>
                <w:color w:val="000000"/>
                <w:sz w:val="22"/>
                <w:szCs w:val="22"/>
              </w:rPr>
              <w:t>-0.09</w:t>
            </w:r>
          </w:p>
        </w:tc>
        <w:tc>
          <w:tcPr>
            <w:tcW w:w="637" w:type="dxa"/>
            <w:tcBorders>
              <w:top w:val="nil"/>
              <w:left w:val="nil"/>
              <w:bottom w:val="nil"/>
              <w:right w:val="nil"/>
            </w:tcBorders>
            <w:shd w:val="clear" w:color="auto" w:fill="auto"/>
            <w:noWrap/>
            <w:vAlign w:val="center"/>
          </w:tcPr>
          <w:p w14:paraId="3BC30C5A" w14:textId="77777777" w:rsidR="00F70E20" w:rsidRPr="002F5B60" w:rsidRDefault="00F70E20" w:rsidP="0099770F">
            <w:pPr>
              <w:jc w:val="center"/>
              <w:rPr>
                <w:color w:val="000000"/>
                <w:sz w:val="22"/>
              </w:rPr>
            </w:pPr>
            <w:r w:rsidRPr="002F5B60">
              <w:rPr>
                <w:color w:val="000000"/>
                <w:sz w:val="22"/>
                <w:szCs w:val="22"/>
              </w:rPr>
              <w:t>-0.06</w:t>
            </w:r>
          </w:p>
        </w:tc>
        <w:tc>
          <w:tcPr>
            <w:tcW w:w="637" w:type="dxa"/>
            <w:tcBorders>
              <w:top w:val="nil"/>
              <w:left w:val="nil"/>
              <w:bottom w:val="nil"/>
              <w:right w:val="nil"/>
            </w:tcBorders>
            <w:shd w:val="clear" w:color="auto" w:fill="auto"/>
            <w:noWrap/>
            <w:vAlign w:val="center"/>
          </w:tcPr>
          <w:p w14:paraId="44BDAAAB" w14:textId="77777777" w:rsidR="00F70E20" w:rsidRPr="002F5B60" w:rsidRDefault="00F70E20" w:rsidP="0099770F">
            <w:pPr>
              <w:jc w:val="center"/>
              <w:rPr>
                <w:color w:val="000000"/>
                <w:sz w:val="22"/>
              </w:rPr>
            </w:pPr>
            <w:r w:rsidRPr="002F5B60">
              <w:rPr>
                <w:color w:val="000000"/>
                <w:sz w:val="22"/>
                <w:szCs w:val="22"/>
              </w:rPr>
              <w:t>1.00</w:t>
            </w:r>
          </w:p>
        </w:tc>
        <w:tc>
          <w:tcPr>
            <w:tcW w:w="637" w:type="dxa"/>
            <w:tcBorders>
              <w:top w:val="nil"/>
              <w:left w:val="nil"/>
              <w:bottom w:val="nil"/>
              <w:right w:val="nil"/>
            </w:tcBorders>
            <w:shd w:val="clear" w:color="auto" w:fill="auto"/>
            <w:noWrap/>
            <w:vAlign w:val="center"/>
          </w:tcPr>
          <w:p w14:paraId="3B494806" w14:textId="77777777" w:rsidR="00F70E20" w:rsidRPr="002F5B60" w:rsidRDefault="00F70E20" w:rsidP="0099770F">
            <w:pPr>
              <w:jc w:val="center"/>
              <w:rPr>
                <w:color w:val="000000"/>
                <w:sz w:val="22"/>
              </w:rPr>
            </w:pPr>
          </w:p>
        </w:tc>
        <w:tc>
          <w:tcPr>
            <w:tcW w:w="541" w:type="dxa"/>
            <w:tcBorders>
              <w:top w:val="nil"/>
              <w:left w:val="nil"/>
              <w:bottom w:val="nil"/>
              <w:right w:val="nil"/>
            </w:tcBorders>
            <w:vAlign w:val="center"/>
          </w:tcPr>
          <w:p w14:paraId="055CE939" w14:textId="77777777" w:rsidR="00F70E20" w:rsidRPr="002F5B60" w:rsidRDefault="00F70E20" w:rsidP="0099770F">
            <w:pPr>
              <w:jc w:val="center"/>
              <w:rPr>
                <w:color w:val="000000"/>
                <w:sz w:val="22"/>
              </w:rPr>
            </w:pPr>
          </w:p>
        </w:tc>
      </w:tr>
      <w:tr w:rsidR="00F70E20" w:rsidRPr="001C5555" w14:paraId="18774222" w14:textId="77777777" w:rsidTr="0099770F">
        <w:trPr>
          <w:trHeight w:val="580"/>
        </w:trPr>
        <w:tc>
          <w:tcPr>
            <w:tcW w:w="2023" w:type="dxa"/>
            <w:tcBorders>
              <w:top w:val="nil"/>
              <w:left w:val="nil"/>
              <w:right w:val="nil"/>
            </w:tcBorders>
            <w:shd w:val="clear" w:color="auto" w:fill="auto"/>
            <w:vAlign w:val="center"/>
            <w:hideMark/>
          </w:tcPr>
          <w:p w14:paraId="3C34080D" w14:textId="77777777" w:rsidR="00F70E20" w:rsidRPr="002F5B60" w:rsidRDefault="00F70E20" w:rsidP="0099770F">
            <w:pPr>
              <w:rPr>
                <w:color w:val="000000"/>
                <w:sz w:val="22"/>
              </w:rPr>
            </w:pPr>
            <w:r w:rsidRPr="002F5B60">
              <w:rPr>
                <w:color w:val="000000"/>
                <w:sz w:val="22"/>
              </w:rPr>
              <w:t>14. Internet services &amp; infrastructure</w:t>
            </w:r>
          </w:p>
        </w:tc>
        <w:tc>
          <w:tcPr>
            <w:tcW w:w="728" w:type="dxa"/>
            <w:tcBorders>
              <w:top w:val="nil"/>
              <w:left w:val="nil"/>
              <w:right w:val="nil"/>
            </w:tcBorders>
            <w:vAlign w:val="center"/>
          </w:tcPr>
          <w:p w14:paraId="3325AEF1" w14:textId="77777777" w:rsidR="00F70E20" w:rsidRPr="002F5B60" w:rsidRDefault="00F70E20" w:rsidP="0099770F">
            <w:pPr>
              <w:jc w:val="center"/>
              <w:rPr>
                <w:color w:val="000000"/>
                <w:sz w:val="22"/>
                <w:szCs w:val="22"/>
              </w:rPr>
            </w:pPr>
            <w:r w:rsidRPr="002F5B60">
              <w:rPr>
                <w:color w:val="000000"/>
                <w:sz w:val="22"/>
                <w:szCs w:val="22"/>
              </w:rPr>
              <w:t>0.05</w:t>
            </w:r>
          </w:p>
        </w:tc>
        <w:tc>
          <w:tcPr>
            <w:tcW w:w="547" w:type="dxa"/>
            <w:tcBorders>
              <w:top w:val="nil"/>
              <w:left w:val="nil"/>
              <w:right w:val="nil"/>
            </w:tcBorders>
            <w:vAlign w:val="center"/>
          </w:tcPr>
          <w:p w14:paraId="47B533AF" w14:textId="77777777" w:rsidR="00F70E20" w:rsidRPr="002F5B60" w:rsidRDefault="00F70E20" w:rsidP="0099770F">
            <w:pPr>
              <w:jc w:val="center"/>
              <w:rPr>
                <w:color w:val="000000"/>
                <w:sz w:val="22"/>
                <w:szCs w:val="22"/>
              </w:rPr>
            </w:pPr>
            <w:r w:rsidRPr="002F5B60">
              <w:rPr>
                <w:color w:val="000000"/>
                <w:sz w:val="22"/>
                <w:szCs w:val="22"/>
              </w:rPr>
              <w:t>0.21</w:t>
            </w:r>
          </w:p>
        </w:tc>
        <w:tc>
          <w:tcPr>
            <w:tcW w:w="637" w:type="dxa"/>
            <w:tcBorders>
              <w:top w:val="nil"/>
              <w:left w:val="nil"/>
              <w:right w:val="nil"/>
            </w:tcBorders>
            <w:shd w:val="clear" w:color="auto" w:fill="auto"/>
            <w:noWrap/>
            <w:vAlign w:val="center"/>
          </w:tcPr>
          <w:p w14:paraId="0D8C9C24" w14:textId="77777777" w:rsidR="00F70E20" w:rsidRPr="002F5B60" w:rsidRDefault="00F70E20" w:rsidP="0099770F">
            <w:pPr>
              <w:jc w:val="center"/>
              <w:rPr>
                <w:color w:val="000000"/>
                <w:sz w:val="22"/>
              </w:rPr>
            </w:pPr>
            <w:r w:rsidRPr="002F5B60">
              <w:rPr>
                <w:color w:val="000000"/>
                <w:sz w:val="22"/>
                <w:szCs w:val="22"/>
              </w:rPr>
              <w:t>0.07</w:t>
            </w:r>
          </w:p>
        </w:tc>
        <w:tc>
          <w:tcPr>
            <w:tcW w:w="637" w:type="dxa"/>
            <w:tcBorders>
              <w:top w:val="nil"/>
              <w:left w:val="nil"/>
              <w:right w:val="nil"/>
            </w:tcBorders>
            <w:shd w:val="clear" w:color="auto" w:fill="auto"/>
            <w:noWrap/>
            <w:vAlign w:val="center"/>
          </w:tcPr>
          <w:p w14:paraId="664EC334" w14:textId="77777777" w:rsidR="00F70E20" w:rsidRPr="002F5B60" w:rsidRDefault="00F70E20" w:rsidP="0099770F">
            <w:pPr>
              <w:jc w:val="center"/>
              <w:rPr>
                <w:color w:val="000000"/>
                <w:sz w:val="22"/>
              </w:rPr>
            </w:pPr>
            <w:r w:rsidRPr="002F5B60">
              <w:rPr>
                <w:color w:val="000000"/>
                <w:sz w:val="22"/>
                <w:szCs w:val="22"/>
              </w:rPr>
              <w:t>0.05</w:t>
            </w:r>
          </w:p>
        </w:tc>
        <w:tc>
          <w:tcPr>
            <w:tcW w:w="637" w:type="dxa"/>
            <w:tcBorders>
              <w:top w:val="nil"/>
              <w:left w:val="nil"/>
              <w:right w:val="nil"/>
            </w:tcBorders>
            <w:shd w:val="clear" w:color="auto" w:fill="auto"/>
            <w:noWrap/>
            <w:vAlign w:val="center"/>
          </w:tcPr>
          <w:p w14:paraId="76A38F95" w14:textId="77777777" w:rsidR="00F70E20" w:rsidRPr="002F5B60" w:rsidRDefault="00F70E20" w:rsidP="0099770F">
            <w:pPr>
              <w:jc w:val="center"/>
              <w:rPr>
                <w:color w:val="000000"/>
                <w:sz w:val="22"/>
              </w:rPr>
            </w:pPr>
            <w:r w:rsidRPr="002F5B60">
              <w:rPr>
                <w:color w:val="000000"/>
                <w:sz w:val="22"/>
                <w:szCs w:val="22"/>
              </w:rPr>
              <w:t>-0.04</w:t>
            </w:r>
          </w:p>
        </w:tc>
        <w:tc>
          <w:tcPr>
            <w:tcW w:w="637" w:type="dxa"/>
            <w:tcBorders>
              <w:top w:val="nil"/>
              <w:left w:val="nil"/>
              <w:right w:val="nil"/>
            </w:tcBorders>
            <w:shd w:val="clear" w:color="auto" w:fill="auto"/>
            <w:noWrap/>
            <w:vAlign w:val="center"/>
          </w:tcPr>
          <w:p w14:paraId="7BC84455" w14:textId="77777777" w:rsidR="00F70E20" w:rsidRPr="002F5B60" w:rsidRDefault="00F70E20" w:rsidP="0099770F">
            <w:pPr>
              <w:jc w:val="center"/>
              <w:rPr>
                <w:color w:val="000000"/>
                <w:sz w:val="22"/>
              </w:rPr>
            </w:pPr>
            <w:r w:rsidRPr="002F5B60">
              <w:rPr>
                <w:color w:val="000000"/>
                <w:sz w:val="22"/>
                <w:szCs w:val="22"/>
              </w:rPr>
              <w:t>-0.19</w:t>
            </w:r>
          </w:p>
        </w:tc>
        <w:tc>
          <w:tcPr>
            <w:tcW w:w="637" w:type="dxa"/>
            <w:tcBorders>
              <w:top w:val="nil"/>
              <w:left w:val="nil"/>
              <w:right w:val="nil"/>
            </w:tcBorders>
            <w:shd w:val="clear" w:color="auto" w:fill="auto"/>
            <w:noWrap/>
            <w:vAlign w:val="center"/>
          </w:tcPr>
          <w:p w14:paraId="4CF25ECC" w14:textId="77777777" w:rsidR="00F70E20" w:rsidRPr="002F5B60" w:rsidRDefault="00F70E20" w:rsidP="0099770F">
            <w:pPr>
              <w:jc w:val="center"/>
              <w:rPr>
                <w:color w:val="000000"/>
                <w:sz w:val="22"/>
              </w:rPr>
            </w:pPr>
            <w:r w:rsidRPr="002F5B60">
              <w:rPr>
                <w:color w:val="000000"/>
                <w:sz w:val="22"/>
                <w:szCs w:val="22"/>
              </w:rPr>
              <w:t>0.04</w:t>
            </w:r>
          </w:p>
        </w:tc>
        <w:tc>
          <w:tcPr>
            <w:tcW w:w="637" w:type="dxa"/>
            <w:tcBorders>
              <w:top w:val="nil"/>
              <w:left w:val="nil"/>
              <w:right w:val="nil"/>
            </w:tcBorders>
            <w:shd w:val="clear" w:color="auto" w:fill="auto"/>
            <w:noWrap/>
            <w:vAlign w:val="center"/>
          </w:tcPr>
          <w:p w14:paraId="092BA3EF" w14:textId="77777777" w:rsidR="00F70E20" w:rsidRPr="002F5B60" w:rsidRDefault="00F70E20" w:rsidP="0099770F">
            <w:pPr>
              <w:jc w:val="center"/>
              <w:rPr>
                <w:color w:val="000000"/>
                <w:sz w:val="22"/>
              </w:rPr>
            </w:pPr>
            <w:r w:rsidRPr="002F5B60">
              <w:rPr>
                <w:color w:val="000000"/>
                <w:sz w:val="22"/>
                <w:szCs w:val="22"/>
              </w:rPr>
              <w:t>-0.14</w:t>
            </w:r>
          </w:p>
        </w:tc>
        <w:tc>
          <w:tcPr>
            <w:tcW w:w="637" w:type="dxa"/>
            <w:tcBorders>
              <w:top w:val="nil"/>
              <w:left w:val="nil"/>
              <w:right w:val="nil"/>
            </w:tcBorders>
            <w:shd w:val="clear" w:color="auto" w:fill="auto"/>
            <w:noWrap/>
            <w:vAlign w:val="center"/>
          </w:tcPr>
          <w:p w14:paraId="6A3CC9E9" w14:textId="77777777" w:rsidR="00F70E20" w:rsidRPr="002F5B60" w:rsidRDefault="00F70E20" w:rsidP="0099770F">
            <w:pPr>
              <w:jc w:val="center"/>
              <w:rPr>
                <w:color w:val="000000"/>
                <w:sz w:val="22"/>
              </w:rPr>
            </w:pPr>
            <w:r w:rsidRPr="002F5B60">
              <w:rPr>
                <w:color w:val="000000"/>
                <w:sz w:val="22"/>
                <w:szCs w:val="22"/>
              </w:rPr>
              <w:t>-0.04</w:t>
            </w:r>
          </w:p>
        </w:tc>
        <w:tc>
          <w:tcPr>
            <w:tcW w:w="637" w:type="dxa"/>
            <w:tcBorders>
              <w:top w:val="nil"/>
              <w:left w:val="nil"/>
              <w:right w:val="nil"/>
            </w:tcBorders>
            <w:shd w:val="clear" w:color="auto" w:fill="auto"/>
            <w:noWrap/>
            <w:vAlign w:val="center"/>
          </w:tcPr>
          <w:p w14:paraId="391AD16D" w14:textId="77777777" w:rsidR="00F70E20" w:rsidRPr="002F5B60" w:rsidRDefault="00F70E20" w:rsidP="0099770F">
            <w:pPr>
              <w:jc w:val="center"/>
              <w:rPr>
                <w:color w:val="000000"/>
                <w:sz w:val="22"/>
              </w:rPr>
            </w:pPr>
            <w:r w:rsidRPr="002F5B60">
              <w:rPr>
                <w:color w:val="000000"/>
                <w:sz w:val="22"/>
                <w:szCs w:val="22"/>
              </w:rPr>
              <w:t>-0.07</w:t>
            </w:r>
          </w:p>
        </w:tc>
        <w:tc>
          <w:tcPr>
            <w:tcW w:w="637" w:type="dxa"/>
            <w:tcBorders>
              <w:top w:val="nil"/>
              <w:left w:val="nil"/>
              <w:right w:val="nil"/>
            </w:tcBorders>
            <w:shd w:val="clear" w:color="auto" w:fill="auto"/>
            <w:noWrap/>
            <w:vAlign w:val="center"/>
          </w:tcPr>
          <w:p w14:paraId="54E11E02" w14:textId="77777777" w:rsidR="00F70E20" w:rsidRPr="002F5B60" w:rsidRDefault="00F70E20" w:rsidP="0099770F">
            <w:pPr>
              <w:jc w:val="center"/>
              <w:rPr>
                <w:color w:val="000000"/>
                <w:sz w:val="22"/>
              </w:rPr>
            </w:pPr>
            <w:r w:rsidRPr="002F5B60">
              <w:rPr>
                <w:color w:val="000000"/>
                <w:sz w:val="22"/>
                <w:szCs w:val="22"/>
              </w:rPr>
              <w:t>-0.18</w:t>
            </w:r>
          </w:p>
        </w:tc>
        <w:tc>
          <w:tcPr>
            <w:tcW w:w="637" w:type="dxa"/>
            <w:tcBorders>
              <w:top w:val="nil"/>
              <w:left w:val="nil"/>
              <w:right w:val="nil"/>
            </w:tcBorders>
            <w:shd w:val="clear" w:color="auto" w:fill="auto"/>
            <w:noWrap/>
            <w:vAlign w:val="center"/>
          </w:tcPr>
          <w:p w14:paraId="5B4923A4" w14:textId="77777777" w:rsidR="00F70E20" w:rsidRPr="002F5B60" w:rsidRDefault="00F70E20" w:rsidP="0099770F">
            <w:pPr>
              <w:jc w:val="center"/>
              <w:rPr>
                <w:color w:val="000000"/>
                <w:sz w:val="22"/>
              </w:rPr>
            </w:pPr>
            <w:r w:rsidRPr="002F5B60">
              <w:rPr>
                <w:color w:val="000000"/>
                <w:sz w:val="22"/>
                <w:szCs w:val="22"/>
              </w:rPr>
              <w:t>-0.08</w:t>
            </w:r>
          </w:p>
        </w:tc>
        <w:tc>
          <w:tcPr>
            <w:tcW w:w="637" w:type="dxa"/>
            <w:tcBorders>
              <w:top w:val="nil"/>
              <w:left w:val="nil"/>
              <w:right w:val="nil"/>
            </w:tcBorders>
            <w:shd w:val="clear" w:color="auto" w:fill="auto"/>
            <w:noWrap/>
            <w:vAlign w:val="center"/>
          </w:tcPr>
          <w:p w14:paraId="1FE94084" w14:textId="77777777" w:rsidR="00F70E20" w:rsidRPr="002F5B60" w:rsidRDefault="00F70E20" w:rsidP="0099770F">
            <w:pPr>
              <w:jc w:val="center"/>
              <w:rPr>
                <w:color w:val="000000"/>
                <w:sz w:val="22"/>
              </w:rPr>
            </w:pPr>
            <w:r w:rsidRPr="002F5B60">
              <w:rPr>
                <w:color w:val="000000"/>
                <w:sz w:val="22"/>
                <w:szCs w:val="22"/>
              </w:rPr>
              <w:t>-0.08</w:t>
            </w:r>
          </w:p>
        </w:tc>
        <w:tc>
          <w:tcPr>
            <w:tcW w:w="637" w:type="dxa"/>
            <w:tcBorders>
              <w:top w:val="nil"/>
              <w:left w:val="nil"/>
              <w:right w:val="nil"/>
            </w:tcBorders>
            <w:shd w:val="clear" w:color="auto" w:fill="auto"/>
            <w:noWrap/>
            <w:vAlign w:val="center"/>
          </w:tcPr>
          <w:p w14:paraId="525CDE0C" w14:textId="77777777" w:rsidR="00F70E20" w:rsidRPr="002F5B60" w:rsidRDefault="00F70E20" w:rsidP="0099770F">
            <w:pPr>
              <w:jc w:val="center"/>
              <w:rPr>
                <w:color w:val="000000"/>
                <w:sz w:val="22"/>
              </w:rPr>
            </w:pPr>
            <w:r w:rsidRPr="002F5B60">
              <w:rPr>
                <w:color w:val="000000"/>
                <w:sz w:val="22"/>
                <w:szCs w:val="22"/>
              </w:rPr>
              <w:t>-0.06</w:t>
            </w:r>
          </w:p>
        </w:tc>
        <w:tc>
          <w:tcPr>
            <w:tcW w:w="637" w:type="dxa"/>
            <w:tcBorders>
              <w:top w:val="nil"/>
              <w:left w:val="nil"/>
              <w:right w:val="nil"/>
            </w:tcBorders>
            <w:shd w:val="clear" w:color="auto" w:fill="auto"/>
            <w:noWrap/>
            <w:vAlign w:val="center"/>
          </w:tcPr>
          <w:p w14:paraId="4FBF40E2" w14:textId="77777777" w:rsidR="00F70E20" w:rsidRPr="002F5B60" w:rsidRDefault="00F70E20" w:rsidP="0099770F">
            <w:pPr>
              <w:jc w:val="center"/>
              <w:rPr>
                <w:color w:val="000000"/>
                <w:sz w:val="22"/>
              </w:rPr>
            </w:pPr>
            <w:r w:rsidRPr="002F5B60">
              <w:rPr>
                <w:color w:val="000000"/>
                <w:sz w:val="22"/>
                <w:szCs w:val="22"/>
              </w:rPr>
              <w:t>-0.05</w:t>
            </w:r>
          </w:p>
        </w:tc>
        <w:tc>
          <w:tcPr>
            <w:tcW w:w="637" w:type="dxa"/>
            <w:tcBorders>
              <w:top w:val="nil"/>
              <w:left w:val="nil"/>
              <w:right w:val="nil"/>
            </w:tcBorders>
            <w:shd w:val="clear" w:color="auto" w:fill="auto"/>
            <w:noWrap/>
            <w:vAlign w:val="center"/>
          </w:tcPr>
          <w:p w14:paraId="772905B9" w14:textId="77777777" w:rsidR="00F70E20" w:rsidRPr="002F5B60" w:rsidRDefault="00F70E20" w:rsidP="0099770F">
            <w:pPr>
              <w:jc w:val="center"/>
              <w:rPr>
                <w:color w:val="000000"/>
                <w:sz w:val="22"/>
              </w:rPr>
            </w:pPr>
            <w:r w:rsidRPr="002F5B60">
              <w:rPr>
                <w:color w:val="000000"/>
                <w:sz w:val="22"/>
                <w:szCs w:val="22"/>
              </w:rPr>
              <w:t>1.00</w:t>
            </w:r>
          </w:p>
        </w:tc>
        <w:tc>
          <w:tcPr>
            <w:tcW w:w="541" w:type="dxa"/>
            <w:tcBorders>
              <w:top w:val="nil"/>
              <w:left w:val="nil"/>
              <w:right w:val="nil"/>
            </w:tcBorders>
            <w:vAlign w:val="center"/>
          </w:tcPr>
          <w:p w14:paraId="7BCD926C" w14:textId="77777777" w:rsidR="00F70E20" w:rsidRPr="002F5B60" w:rsidRDefault="00F70E20" w:rsidP="0099770F">
            <w:pPr>
              <w:jc w:val="center"/>
              <w:rPr>
                <w:color w:val="000000"/>
                <w:sz w:val="22"/>
              </w:rPr>
            </w:pPr>
          </w:p>
        </w:tc>
      </w:tr>
      <w:tr w:rsidR="00F70E20" w:rsidRPr="001C5555" w14:paraId="3AFF9D8E" w14:textId="77777777" w:rsidTr="0099770F">
        <w:trPr>
          <w:trHeight w:val="290"/>
        </w:trPr>
        <w:tc>
          <w:tcPr>
            <w:tcW w:w="2023" w:type="dxa"/>
            <w:tcBorders>
              <w:top w:val="nil"/>
              <w:left w:val="nil"/>
              <w:bottom w:val="nil"/>
              <w:right w:val="nil"/>
            </w:tcBorders>
            <w:shd w:val="clear" w:color="auto" w:fill="auto"/>
            <w:vAlign w:val="center"/>
            <w:hideMark/>
          </w:tcPr>
          <w:p w14:paraId="3230C06F" w14:textId="77777777" w:rsidR="00F70E20" w:rsidRPr="002F5B60" w:rsidRDefault="00F70E20" w:rsidP="0099770F">
            <w:pPr>
              <w:rPr>
                <w:color w:val="000000"/>
                <w:sz w:val="22"/>
              </w:rPr>
            </w:pPr>
            <w:r w:rsidRPr="002F5B60">
              <w:rPr>
                <w:color w:val="000000"/>
                <w:sz w:val="22"/>
              </w:rPr>
              <w:t>15. Other industries</w:t>
            </w:r>
          </w:p>
        </w:tc>
        <w:tc>
          <w:tcPr>
            <w:tcW w:w="728" w:type="dxa"/>
            <w:tcBorders>
              <w:top w:val="nil"/>
              <w:left w:val="nil"/>
              <w:bottom w:val="nil"/>
              <w:right w:val="nil"/>
            </w:tcBorders>
            <w:vAlign w:val="center"/>
          </w:tcPr>
          <w:p w14:paraId="13533101" w14:textId="77777777" w:rsidR="00F70E20" w:rsidRPr="002F5B60" w:rsidRDefault="00F70E20" w:rsidP="0099770F">
            <w:pPr>
              <w:jc w:val="center"/>
              <w:rPr>
                <w:color w:val="000000"/>
                <w:sz w:val="22"/>
                <w:szCs w:val="22"/>
              </w:rPr>
            </w:pPr>
            <w:r w:rsidRPr="002F5B60">
              <w:rPr>
                <w:color w:val="000000"/>
                <w:sz w:val="22"/>
                <w:szCs w:val="22"/>
              </w:rPr>
              <w:t>0.20</w:t>
            </w:r>
          </w:p>
        </w:tc>
        <w:tc>
          <w:tcPr>
            <w:tcW w:w="547" w:type="dxa"/>
            <w:tcBorders>
              <w:top w:val="nil"/>
              <w:left w:val="nil"/>
              <w:bottom w:val="nil"/>
              <w:right w:val="nil"/>
            </w:tcBorders>
            <w:vAlign w:val="center"/>
          </w:tcPr>
          <w:p w14:paraId="798B9C32" w14:textId="77777777" w:rsidR="00F70E20" w:rsidRPr="002F5B60" w:rsidRDefault="00F70E20" w:rsidP="0099770F">
            <w:pPr>
              <w:jc w:val="center"/>
              <w:rPr>
                <w:color w:val="000000"/>
                <w:sz w:val="22"/>
                <w:szCs w:val="22"/>
              </w:rPr>
            </w:pPr>
            <w:r w:rsidRPr="002F5B60">
              <w:rPr>
                <w:color w:val="000000"/>
                <w:sz w:val="22"/>
                <w:szCs w:val="22"/>
              </w:rPr>
              <w:t>0.40</w:t>
            </w:r>
          </w:p>
        </w:tc>
        <w:tc>
          <w:tcPr>
            <w:tcW w:w="637" w:type="dxa"/>
            <w:tcBorders>
              <w:top w:val="nil"/>
              <w:left w:val="nil"/>
              <w:bottom w:val="nil"/>
              <w:right w:val="nil"/>
            </w:tcBorders>
            <w:shd w:val="clear" w:color="auto" w:fill="auto"/>
            <w:noWrap/>
            <w:vAlign w:val="center"/>
          </w:tcPr>
          <w:p w14:paraId="7BF42A23" w14:textId="77777777" w:rsidR="00F70E20" w:rsidRPr="002F5B60" w:rsidRDefault="00F70E20" w:rsidP="0099770F">
            <w:pPr>
              <w:jc w:val="center"/>
              <w:rPr>
                <w:color w:val="000000"/>
                <w:sz w:val="22"/>
              </w:rPr>
            </w:pPr>
            <w:r w:rsidRPr="002F5B60">
              <w:rPr>
                <w:color w:val="000000"/>
                <w:sz w:val="22"/>
                <w:szCs w:val="22"/>
              </w:rPr>
              <w:t>-0.26</w:t>
            </w:r>
          </w:p>
        </w:tc>
        <w:tc>
          <w:tcPr>
            <w:tcW w:w="637" w:type="dxa"/>
            <w:tcBorders>
              <w:top w:val="nil"/>
              <w:left w:val="nil"/>
              <w:bottom w:val="nil"/>
              <w:right w:val="nil"/>
            </w:tcBorders>
            <w:shd w:val="clear" w:color="auto" w:fill="auto"/>
            <w:noWrap/>
            <w:vAlign w:val="center"/>
          </w:tcPr>
          <w:p w14:paraId="61018A35" w14:textId="77777777" w:rsidR="00F70E20" w:rsidRPr="002F5B60" w:rsidRDefault="00F70E20" w:rsidP="0099770F">
            <w:pPr>
              <w:jc w:val="center"/>
              <w:rPr>
                <w:color w:val="000000"/>
                <w:sz w:val="22"/>
              </w:rPr>
            </w:pPr>
            <w:r w:rsidRPr="002F5B60">
              <w:rPr>
                <w:color w:val="000000"/>
                <w:sz w:val="22"/>
                <w:szCs w:val="22"/>
              </w:rPr>
              <w:t>0.20</w:t>
            </w:r>
          </w:p>
        </w:tc>
        <w:tc>
          <w:tcPr>
            <w:tcW w:w="637" w:type="dxa"/>
            <w:tcBorders>
              <w:top w:val="nil"/>
              <w:left w:val="nil"/>
              <w:bottom w:val="nil"/>
              <w:right w:val="nil"/>
            </w:tcBorders>
            <w:shd w:val="clear" w:color="auto" w:fill="auto"/>
            <w:noWrap/>
            <w:vAlign w:val="center"/>
          </w:tcPr>
          <w:p w14:paraId="131FF916" w14:textId="77777777" w:rsidR="00F70E20" w:rsidRPr="002F5B60" w:rsidRDefault="00F70E20" w:rsidP="0099770F">
            <w:pPr>
              <w:jc w:val="center"/>
              <w:rPr>
                <w:color w:val="000000"/>
                <w:sz w:val="22"/>
              </w:rPr>
            </w:pPr>
            <w:r w:rsidRPr="002F5B60">
              <w:rPr>
                <w:color w:val="000000"/>
                <w:sz w:val="22"/>
                <w:szCs w:val="22"/>
              </w:rPr>
              <w:t>0.08</w:t>
            </w:r>
          </w:p>
        </w:tc>
        <w:tc>
          <w:tcPr>
            <w:tcW w:w="637" w:type="dxa"/>
            <w:tcBorders>
              <w:top w:val="nil"/>
              <w:left w:val="nil"/>
              <w:bottom w:val="nil"/>
              <w:right w:val="nil"/>
            </w:tcBorders>
            <w:shd w:val="clear" w:color="auto" w:fill="auto"/>
            <w:noWrap/>
            <w:vAlign w:val="center"/>
          </w:tcPr>
          <w:p w14:paraId="4CA36EB3" w14:textId="77777777" w:rsidR="00F70E20" w:rsidRPr="002F5B60" w:rsidRDefault="00F70E20" w:rsidP="0099770F">
            <w:pPr>
              <w:jc w:val="center"/>
              <w:rPr>
                <w:color w:val="000000"/>
                <w:sz w:val="22"/>
              </w:rPr>
            </w:pPr>
            <w:r w:rsidRPr="002F5B60">
              <w:rPr>
                <w:color w:val="000000"/>
                <w:sz w:val="22"/>
                <w:szCs w:val="22"/>
              </w:rPr>
              <w:t>-0.02</w:t>
            </w:r>
          </w:p>
        </w:tc>
        <w:tc>
          <w:tcPr>
            <w:tcW w:w="637" w:type="dxa"/>
            <w:tcBorders>
              <w:top w:val="nil"/>
              <w:left w:val="nil"/>
              <w:bottom w:val="nil"/>
              <w:right w:val="nil"/>
            </w:tcBorders>
            <w:shd w:val="clear" w:color="auto" w:fill="auto"/>
            <w:noWrap/>
            <w:vAlign w:val="center"/>
          </w:tcPr>
          <w:p w14:paraId="34DA9B3A" w14:textId="77777777" w:rsidR="00F70E20" w:rsidRPr="002F5B60" w:rsidRDefault="00F70E20" w:rsidP="0099770F">
            <w:pPr>
              <w:jc w:val="center"/>
              <w:rPr>
                <w:color w:val="000000"/>
                <w:sz w:val="22"/>
              </w:rPr>
            </w:pPr>
            <w:r w:rsidRPr="002F5B60">
              <w:rPr>
                <w:color w:val="000000"/>
                <w:sz w:val="22"/>
                <w:szCs w:val="22"/>
              </w:rPr>
              <w:t>-0.05</w:t>
            </w:r>
          </w:p>
        </w:tc>
        <w:tc>
          <w:tcPr>
            <w:tcW w:w="637" w:type="dxa"/>
            <w:tcBorders>
              <w:top w:val="nil"/>
              <w:left w:val="nil"/>
              <w:bottom w:val="nil"/>
              <w:right w:val="nil"/>
            </w:tcBorders>
            <w:shd w:val="clear" w:color="auto" w:fill="auto"/>
            <w:noWrap/>
            <w:vAlign w:val="center"/>
          </w:tcPr>
          <w:p w14:paraId="4181BD83" w14:textId="77777777" w:rsidR="00F70E20" w:rsidRPr="002F5B60" w:rsidRDefault="00F70E20" w:rsidP="0099770F">
            <w:pPr>
              <w:jc w:val="center"/>
              <w:rPr>
                <w:color w:val="000000"/>
                <w:sz w:val="22"/>
              </w:rPr>
            </w:pPr>
            <w:r w:rsidRPr="002F5B60">
              <w:rPr>
                <w:color w:val="000000"/>
                <w:sz w:val="22"/>
                <w:szCs w:val="22"/>
              </w:rPr>
              <w:t>-0.05</w:t>
            </w:r>
          </w:p>
        </w:tc>
        <w:tc>
          <w:tcPr>
            <w:tcW w:w="637" w:type="dxa"/>
            <w:tcBorders>
              <w:top w:val="nil"/>
              <w:left w:val="nil"/>
              <w:bottom w:val="nil"/>
              <w:right w:val="nil"/>
            </w:tcBorders>
            <w:shd w:val="clear" w:color="auto" w:fill="auto"/>
            <w:noWrap/>
            <w:vAlign w:val="center"/>
          </w:tcPr>
          <w:p w14:paraId="29502255" w14:textId="77777777" w:rsidR="00F70E20" w:rsidRPr="002F5B60" w:rsidRDefault="00F70E20" w:rsidP="0099770F">
            <w:pPr>
              <w:jc w:val="center"/>
              <w:rPr>
                <w:color w:val="000000"/>
                <w:sz w:val="22"/>
              </w:rPr>
            </w:pPr>
            <w:r w:rsidRPr="002F5B60">
              <w:rPr>
                <w:color w:val="000000"/>
                <w:sz w:val="22"/>
                <w:szCs w:val="22"/>
              </w:rPr>
              <w:t>-0.39</w:t>
            </w:r>
          </w:p>
        </w:tc>
        <w:tc>
          <w:tcPr>
            <w:tcW w:w="637" w:type="dxa"/>
            <w:tcBorders>
              <w:top w:val="nil"/>
              <w:left w:val="nil"/>
              <w:bottom w:val="nil"/>
              <w:right w:val="nil"/>
            </w:tcBorders>
            <w:shd w:val="clear" w:color="auto" w:fill="auto"/>
            <w:noWrap/>
            <w:vAlign w:val="center"/>
          </w:tcPr>
          <w:p w14:paraId="0241E542" w14:textId="77777777" w:rsidR="00F70E20" w:rsidRPr="002F5B60" w:rsidRDefault="00F70E20" w:rsidP="0099770F">
            <w:pPr>
              <w:jc w:val="center"/>
              <w:rPr>
                <w:color w:val="000000"/>
                <w:sz w:val="22"/>
              </w:rPr>
            </w:pPr>
            <w:r w:rsidRPr="002F5B60">
              <w:rPr>
                <w:color w:val="000000"/>
                <w:sz w:val="22"/>
                <w:szCs w:val="22"/>
              </w:rPr>
              <w:t>0.09</w:t>
            </w:r>
          </w:p>
        </w:tc>
        <w:tc>
          <w:tcPr>
            <w:tcW w:w="637" w:type="dxa"/>
            <w:tcBorders>
              <w:top w:val="nil"/>
              <w:left w:val="nil"/>
              <w:bottom w:val="nil"/>
              <w:right w:val="nil"/>
            </w:tcBorders>
            <w:shd w:val="clear" w:color="auto" w:fill="auto"/>
            <w:noWrap/>
            <w:vAlign w:val="center"/>
          </w:tcPr>
          <w:p w14:paraId="3504C84E" w14:textId="77777777" w:rsidR="00F70E20" w:rsidRPr="002F5B60" w:rsidRDefault="00F70E20" w:rsidP="0099770F">
            <w:pPr>
              <w:jc w:val="center"/>
              <w:rPr>
                <w:color w:val="000000"/>
                <w:sz w:val="22"/>
              </w:rPr>
            </w:pPr>
            <w:r w:rsidRPr="002F5B60">
              <w:rPr>
                <w:color w:val="000000"/>
                <w:sz w:val="22"/>
                <w:szCs w:val="22"/>
              </w:rPr>
              <w:t>-0.40</w:t>
            </w:r>
          </w:p>
        </w:tc>
        <w:tc>
          <w:tcPr>
            <w:tcW w:w="637" w:type="dxa"/>
            <w:tcBorders>
              <w:top w:val="nil"/>
              <w:left w:val="nil"/>
              <w:bottom w:val="nil"/>
              <w:right w:val="nil"/>
            </w:tcBorders>
            <w:shd w:val="clear" w:color="auto" w:fill="auto"/>
            <w:noWrap/>
            <w:vAlign w:val="center"/>
          </w:tcPr>
          <w:p w14:paraId="13851C14" w14:textId="77777777" w:rsidR="00F70E20" w:rsidRPr="002F5B60" w:rsidRDefault="00F70E20" w:rsidP="0099770F">
            <w:pPr>
              <w:jc w:val="center"/>
              <w:rPr>
                <w:color w:val="000000"/>
                <w:sz w:val="22"/>
              </w:rPr>
            </w:pPr>
            <w:r w:rsidRPr="002F5B60">
              <w:rPr>
                <w:color w:val="000000"/>
                <w:sz w:val="22"/>
                <w:szCs w:val="22"/>
              </w:rPr>
              <w:t>-0.19</w:t>
            </w:r>
          </w:p>
        </w:tc>
        <w:tc>
          <w:tcPr>
            <w:tcW w:w="637" w:type="dxa"/>
            <w:tcBorders>
              <w:top w:val="nil"/>
              <w:left w:val="nil"/>
              <w:bottom w:val="nil"/>
              <w:right w:val="nil"/>
            </w:tcBorders>
            <w:shd w:val="clear" w:color="auto" w:fill="auto"/>
            <w:noWrap/>
            <w:vAlign w:val="center"/>
          </w:tcPr>
          <w:p w14:paraId="7492D72C" w14:textId="77777777" w:rsidR="00F70E20" w:rsidRPr="002F5B60" w:rsidRDefault="00F70E20" w:rsidP="0099770F">
            <w:pPr>
              <w:jc w:val="center"/>
              <w:rPr>
                <w:color w:val="000000"/>
                <w:sz w:val="22"/>
              </w:rPr>
            </w:pPr>
            <w:r w:rsidRPr="002F5B60">
              <w:rPr>
                <w:color w:val="000000"/>
                <w:sz w:val="22"/>
                <w:szCs w:val="22"/>
              </w:rPr>
              <w:t>-0.19</w:t>
            </w:r>
          </w:p>
        </w:tc>
        <w:tc>
          <w:tcPr>
            <w:tcW w:w="637" w:type="dxa"/>
            <w:tcBorders>
              <w:top w:val="nil"/>
              <w:left w:val="nil"/>
              <w:bottom w:val="nil"/>
              <w:right w:val="nil"/>
            </w:tcBorders>
            <w:shd w:val="clear" w:color="auto" w:fill="auto"/>
            <w:noWrap/>
            <w:vAlign w:val="center"/>
          </w:tcPr>
          <w:p w14:paraId="40559DC2" w14:textId="77777777" w:rsidR="00F70E20" w:rsidRPr="002F5B60" w:rsidRDefault="00F70E20" w:rsidP="0099770F">
            <w:pPr>
              <w:jc w:val="center"/>
              <w:rPr>
                <w:color w:val="000000"/>
                <w:sz w:val="22"/>
              </w:rPr>
            </w:pPr>
            <w:r w:rsidRPr="002F5B60">
              <w:rPr>
                <w:color w:val="000000"/>
                <w:sz w:val="22"/>
                <w:szCs w:val="22"/>
              </w:rPr>
              <w:t>-0.13</w:t>
            </w:r>
          </w:p>
        </w:tc>
        <w:tc>
          <w:tcPr>
            <w:tcW w:w="637" w:type="dxa"/>
            <w:tcBorders>
              <w:top w:val="nil"/>
              <w:left w:val="nil"/>
              <w:bottom w:val="nil"/>
              <w:right w:val="nil"/>
            </w:tcBorders>
            <w:shd w:val="clear" w:color="auto" w:fill="auto"/>
            <w:noWrap/>
            <w:vAlign w:val="center"/>
          </w:tcPr>
          <w:p w14:paraId="2F91EF2C" w14:textId="77777777" w:rsidR="00F70E20" w:rsidRPr="002F5B60" w:rsidRDefault="00F70E20" w:rsidP="0099770F">
            <w:pPr>
              <w:jc w:val="center"/>
              <w:rPr>
                <w:color w:val="000000"/>
                <w:sz w:val="22"/>
              </w:rPr>
            </w:pPr>
            <w:r w:rsidRPr="002F5B60">
              <w:rPr>
                <w:color w:val="000000"/>
                <w:sz w:val="22"/>
                <w:szCs w:val="22"/>
              </w:rPr>
              <w:t>-0.12</w:t>
            </w:r>
          </w:p>
        </w:tc>
        <w:tc>
          <w:tcPr>
            <w:tcW w:w="637" w:type="dxa"/>
            <w:tcBorders>
              <w:top w:val="nil"/>
              <w:left w:val="nil"/>
              <w:bottom w:val="nil"/>
              <w:right w:val="nil"/>
            </w:tcBorders>
            <w:shd w:val="clear" w:color="auto" w:fill="auto"/>
            <w:noWrap/>
            <w:vAlign w:val="center"/>
          </w:tcPr>
          <w:p w14:paraId="0C9140B5" w14:textId="77777777" w:rsidR="00F70E20" w:rsidRPr="002F5B60" w:rsidRDefault="00F70E20" w:rsidP="0099770F">
            <w:pPr>
              <w:jc w:val="center"/>
              <w:rPr>
                <w:color w:val="000000"/>
                <w:sz w:val="22"/>
              </w:rPr>
            </w:pPr>
            <w:r w:rsidRPr="002F5B60">
              <w:rPr>
                <w:color w:val="000000"/>
                <w:sz w:val="22"/>
                <w:szCs w:val="22"/>
              </w:rPr>
              <w:t>-0.11</w:t>
            </w:r>
          </w:p>
        </w:tc>
        <w:tc>
          <w:tcPr>
            <w:tcW w:w="541" w:type="dxa"/>
            <w:tcBorders>
              <w:top w:val="nil"/>
              <w:left w:val="nil"/>
              <w:bottom w:val="nil"/>
              <w:right w:val="nil"/>
            </w:tcBorders>
            <w:vAlign w:val="center"/>
          </w:tcPr>
          <w:p w14:paraId="3B6C0B70" w14:textId="77777777" w:rsidR="00F70E20" w:rsidRPr="002F5B60" w:rsidRDefault="00F70E20" w:rsidP="0099770F">
            <w:pPr>
              <w:jc w:val="center"/>
              <w:rPr>
                <w:color w:val="000000"/>
                <w:sz w:val="22"/>
              </w:rPr>
            </w:pPr>
            <w:r w:rsidRPr="002F5B60">
              <w:rPr>
                <w:color w:val="000000"/>
                <w:sz w:val="22"/>
              </w:rPr>
              <w:t>1.00</w:t>
            </w:r>
          </w:p>
        </w:tc>
      </w:tr>
      <w:tr w:rsidR="00F70E20" w:rsidRPr="001C5555" w14:paraId="26C14252" w14:textId="77777777" w:rsidTr="0099770F">
        <w:trPr>
          <w:trHeight w:hRule="exact" w:val="144"/>
        </w:trPr>
        <w:tc>
          <w:tcPr>
            <w:tcW w:w="2023" w:type="dxa"/>
            <w:tcBorders>
              <w:top w:val="nil"/>
              <w:left w:val="nil"/>
              <w:bottom w:val="single" w:sz="12" w:space="0" w:color="auto"/>
              <w:right w:val="nil"/>
            </w:tcBorders>
            <w:shd w:val="clear" w:color="auto" w:fill="auto"/>
            <w:vAlign w:val="center"/>
          </w:tcPr>
          <w:p w14:paraId="7B4C3091" w14:textId="77777777" w:rsidR="00F70E20" w:rsidRDefault="00F70E20" w:rsidP="0099770F">
            <w:pPr>
              <w:rPr>
                <w:color w:val="000000"/>
                <w:sz w:val="22"/>
              </w:rPr>
            </w:pPr>
          </w:p>
        </w:tc>
        <w:tc>
          <w:tcPr>
            <w:tcW w:w="728" w:type="dxa"/>
            <w:tcBorders>
              <w:top w:val="nil"/>
              <w:left w:val="nil"/>
              <w:bottom w:val="single" w:sz="12" w:space="0" w:color="auto"/>
              <w:right w:val="nil"/>
            </w:tcBorders>
          </w:tcPr>
          <w:p w14:paraId="34F01EAA" w14:textId="77777777" w:rsidR="00F70E20" w:rsidRDefault="00F70E20" w:rsidP="0099770F">
            <w:pPr>
              <w:jc w:val="center"/>
              <w:rPr>
                <w:color w:val="000000"/>
                <w:sz w:val="22"/>
              </w:rPr>
            </w:pPr>
          </w:p>
        </w:tc>
        <w:tc>
          <w:tcPr>
            <w:tcW w:w="547" w:type="dxa"/>
            <w:tcBorders>
              <w:top w:val="nil"/>
              <w:left w:val="nil"/>
              <w:bottom w:val="single" w:sz="12" w:space="0" w:color="auto"/>
              <w:right w:val="nil"/>
            </w:tcBorders>
          </w:tcPr>
          <w:p w14:paraId="7AD5407D" w14:textId="77777777" w:rsidR="00F70E20" w:rsidRDefault="00F70E20" w:rsidP="0099770F">
            <w:pPr>
              <w:jc w:val="center"/>
              <w:rPr>
                <w:color w:val="000000"/>
                <w:sz w:val="22"/>
              </w:rPr>
            </w:pPr>
          </w:p>
        </w:tc>
        <w:tc>
          <w:tcPr>
            <w:tcW w:w="637" w:type="dxa"/>
            <w:tcBorders>
              <w:top w:val="nil"/>
              <w:left w:val="nil"/>
              <w:bottom w:val="single" w:sz="12" w:space="0" w:color="auto"/>
              <w:right w:val="nil"/>
            </w:tcBorders>
            <w:shd w:val="clear" w:color="auto" w:fill="auto"/>
            <w:noWrap/>
            <w:vAlign w:val="center"/>
          </w:tcPr>
          <w:p w14:paraId="6217E85B" w14:textId="77777777" w:rsidR="00F70E20" w:rsidRDefault="00F70E20" w:rsidP="0099770F">
            <w:pPr>
              <w:jc w:val="center"/>
              <w:rPr>
                <w:color w:val="000000"/>
                <w:sz w:val="22"/>
              </w:rPr>
            </w:pPr>
          </w:p>
        </w:tc>
        <w:tc>
          <w:tcPr>
            <w:tcW w:w="637" w:type="dxa"/>
            <w:tcBorders>
              <w:top w:val="nil"/>
              <w:left w:val="nil"/>
              <w:bottom w:val="single" w:sz="12" w:space="0" w:color="auto"/>
              <w:right w:val="nil"/>
            </w:tcBorders>
            <w:shd w:val="clear" w:color="auto" w:fill="auto"/>
            <w:noWrap/>
            <w:vAlign w:val="center"/>
          </w:tcPr>
          <w:p w14:paraId="4A39C918" w14:textId="77777777" w:rsidR="00F70E20" w:rsidRDefault="00F70E20" w:rsidP="0099770F">
            <w:pPr>
              <w:jc w:val="center"/>
              <w:rPr>
                <w:color w:val="000000"/>
                <w:sz w:val="22"/>
              </w:rPr>
            </w:pPr>
          </w:p>
        </w:tc>
        <w:tc>
          <w:tcPr>
            <w:tcW w:w="637" w:type="dxa"/>
            <w:tcBorders>
              <w:top w:val="nil"/>
              <w:left w:val="nil"/>
              <w:bottom w:val="single" w:sz="12" w:space="0" w:color="auto"/>
              <w:right w:val="nil"/>
            </w:tcBorders>
            <w:shd w:val="clear" w:color="auto" w:fill="auto"/>
            <w:noWrap/>
            <w:vAlign w:val="center"/>
          </w:tcPr>
          <w:p w14:paraId="25E475FC" w14:textId="77777777" w:rsidR="00F70E20" w:rsidRDefault="00F70E20" w:rsidP="0099770F">
            <w:pPr>
              <w:jc w:val="center"/>
              <w:rPr>
                <w:color w:val="000000"/>
                <w:sz w:val="22"/>
              </w:rPr>
            </w:pPr>
          </w:p>
        </w:tc>
        <w:tc>
          <w:tcPr>
            <w:tcW w:w="637" w:type="dxa"/>
            <w:tcBorders>
              <w:top w:val="nil"/>
              <w:left w:val="nil"/>
              <w:bottom w:val="single" w:sz="12" w:space="0" w:color="auto"/>
              <w:right w:val="nil"/>
            </w:tcBorders>
            <w:shd w:val="clear" w:color="auto" w:fill="auto"/>
            <w:noWrap/>
            <w:vAlign w:val="center"/>
          </w:tcPr>
          <w:p w14:paraId="488F1D56" w14:textId="77777777" w:rsidR="00F70E20" w:rsidRDefault="00F70E20" w:rsidP="0099770F">
            <w:pPr>
              <w:jc w:val="center"/>
              <w:rPr>
                <w:color w:val="000000"/>
                <w:sz w:val="22"/>
              </w:rPr>
            </w:pPr>
          </w:p>
        </w:tc>
        <w:tc>
          <w:tcPr>
            <w:tcW w:w="637" w:type="dxa"/>
            <w:tcBorders>
              <w:top w:val="nil"/>
              <w:left w:val="nil"/>
              <w:bottom w:val="single" w:sz="12" w:space="0" w:color="auto"/>
              <w:right w:val="nil"/>
            </w:tcBorders>
            <w:shd w:val="clear" w:color="auto" w:fill="auto"/>
            <w:noWrap/>
            <w:vAlign w:val="center"/>
          </w:tcPr>
          <w:p w14:paraId="35654F73" w14:textId="77777777" w:rsidR="00F70E20" w:rsidRDefault="00F70E20" w:rsidP="0099770F">
            <w:pPr>
              <w:jc w:val="center"/>
              <w:rPr>
                <w:color w:val="000000"/>
                <w:sz w:val="22"/>
              </w:rPr>
            </w:pPr>
          </w:p>
        </w:tc>
        <w:tc>
          <w:tcPr>
            <w:tcW w:w="637" w:type="dxa"/>
            <w:tcBorders>
              <w:top w:val="nil"/>
              <w:left w:val="nil"/>
              <w:bottom w:val="single" w:sz="12" w:space="0" w:color="auto"/>
              <w:right w:val="nil"/>
            </w:tcBorders>
            <w:shd w:val="clear" w:color="auto" w:fill="auto"/>
            <w:noWrap/>
            <w:vAlign w:val="center"/>
          </w:tcPr>
          <w:p w14:paraId="0AA5B523" w14:textId="77777777" w:rsidR="00F70E20" w:rsidRDefault="00F70E20" w:rsidP="0099770F">
            <w:pPr>
              <w:jc w:val="center"/>
              <w:rPr>
                <w:color w:val="000000"/>
                <w:sz w:val="22"/>
              </w:rPr>
            </w:pPr>
          </w:p>
        </w:tc>
        <w:tc>
          <w:tcPr>
            <w:tcW w:w="637" w:type="dxa"/>
            <w:tcBorders>
              <w:top w:val="nil"/>
              <w:left w:val="nil"/>
              <w:bottom w:val="single" w:sz="12" w:space="0" w:color="auto"/>
              <w:right w:val="nil"/>
            </w:tcBorders>
            <w:shd w:val="clear" w:color="auto" w:fill="auto"/>
            <w:noWrap/>
            <w:vAlign w:val="center"/>
          </w:tcPr>
          <w:p w14:paraId="1222C8B3" w14:textId="77777777" w:rsidR="00F70E20" w:rsidRDefault="00F70E20" w:rsidP="0099770F">
            <w:pPr>
              <w:jc w:val="center"/>
              <w:rPr>
                <w:color w:val="000000"/>
                <w:sz w:val="22"/>
              </w:rPr>
            </w:pPr>
          </w:p>
        </w:tc>
        <w:tc>
          <w:tcPr>
            <w:tcW w:w="637" w:type="dxa"/>
            <w:tcBorders>
              <w:top w:val="nil"/>
              <w:left w:val="nil"/>
              <w:bottom w:val="single" w:sz="12" w:space="0" w:color="auto"/>
              <w:right w:val="nil"/>
            </w:tcBorders>
            <w:shd w:val="clear" w:color="auto" w:fill="auto"/>
            <w:noWrap/>
            <w:vAlign w:val="center"/>
          </w:tcPr>
          <w:p w14:paraId="5B7A2B5B" w14:textId="77777777" w:rsidR="00F70E20" w:rsidRDefault="00F70E20" w:rsidP="0099770F">
            <w:pPr>
              <w:jc w:val="center"/>
              <w:rPr>
                <w:color w:val="000000"/>
                <w:sz w:val="22"/>
              </w:rPr>
            </w:pPr>
          </w:p>
        </w:tc>
        <w:tc>
          <w:tcPr>
            <w:tcW w:w="637" w:type="dxa"/>
            <w:tcBorders>
              <w:top w:val="nil"/>
              <w:left w:val="nil"/>
              <w:bottom w:val="single" w:sz="12" w:space="0" w:color="auto"/>
              <w:right w:val="nil"/>
            </w:tcBorders>
            <w:shd w:val="clear" w:color="auto" w:fill="auto"/>
            <w:noWrap/>
            <w:vAlign w:val="center"/>
          </w:tcPr>
          <w:p w14:paraId="78DE21F7" w14:textId="77777777" w:rsidR="00F70E20" w:rsidRDefault="00F70E20" w:rsidP="0099770F">
            <w:pPr>
              <w:jc w:val="center"/>
              <w:rPr>
                <w:color w:val="000000"/>
                <w:sz w:val="22"/>
              </w:rPr>
            </w:pPr>
          </w:p>
        </w:tc>
        <w:tc>
          <w:tcPr>
            <w:tcW w:w="637" w:type="dxa"/>
            <w:tcBorders>
              <w:top w:val="nil"/>
              <w:left w:val="nil"/>
              <w:bottom w:val="single" w:sz="12" w:space="0" w:color="auto"/>
              <w:right w:val="nil"/>
            </w:tcBorders>
            <w:shd w:val="clear" w:color="auto" w:fill="auto"/>
            <w:noWrap/>
            <w:vAlign w:val="center"/>
          </w:tcPr>
          <w:p w14:paraId="7CC9EDBF" w14:textId="77777777" w:rsidR="00F70E20" w:rsidRDefault="00F70E20" w:rsidP="0099770F">
            <w:pPr>
              <w:jc w:val="center"/>
              <w:rPr>
                <w:color w:val="000000"/>
                <w:sz w:val="22"/>
              </w:rPr>
            </w:pPr>
          </w:p>
        </w:tc>
        <w:tc>
          <w:tcPr>
            <w:tcW w:w="637" w:type="dxa"/>
            <w:tcBorders>
              <w:top w:val="nil"/>
              <w:left w:val="nil"/>
              <w:bottom w:val="single" w:sz="12" w:space="0" w:color="auto"/>
              <w:right w:val="nil"/>
            </w:tcBorders>
            <w:shd w:val="clear" w:color="auto" w:fill="auto"/>
            <w:noWrap/>
            <w:vAlign w:val="center"/>
          </w:tcPr>
          <w:p w14:paraId="69B2C3AD" w14:textId="77777777" w:rsidR="00F70E20" w:rsidRDefault="00F70E20" w:rsidP="0099770F">
            <w:pPr>
              <w:jc w:val="center"/>
              <w:rPr>
                <w:color w:val="000000"/>
                <w:sz w:val="22"/>
              </w:rPr>
            </w:pPr>
          </w:p>
        </w:tc>
        <w:tc>
          <w:tcPr>
            <w:tcW w:w="637" w:type="dxa"/>
            <w:tcBorders>
              <w:top w:val="nil"/>
              <w:left w:val="nil"/>
              <w:bottom w:val="single" w:sz="12" w:space="0" w:color="auto"/>
              <w:right w:val="nil"/>
            </w:tcBorders>
            <w:shd w:val="clear" w:color="auto" w:fill="auto"/>
            <w:noWrap/>
            <w:vAlign w:val="center"/>
          </w:tcPr>
          <w:p w14:paraId="0A09B777" w14:textId="77777777" w:rsidR="00F70E20" w:rsidRDefault="00F70E20" w:rsidP="0099770F">
            <w:pPr>
              <w:jc w:val="center"/>
              <w:rPr>
                <w:color w:val="000000"/>
                <w:sz w:val="22"/>
              </w:rPr>
            </w:pPr>
          </w:p>
        </w:tc>
        <w:tc>
          <w:tcPr>
            <w:tcW w:w="637" w:type="dxa"/>
            <w:tcBorders>
              <w:top w:val="nil"/>
              <w:left w:val="nil"/>
              <w:bottom w:val="single" w:sz="12" w:space="0" w:color="auto"/>
              <w:right w:val="nil"/>
            </w:tcBorders>
            <w:shd w:val="clear" w:color="auto" w:fill="auto"/>
            <w:noWrap/>
            <w:vAlign w:val="center"/>
          </w:tcPr>
          <w:p w14:paraId="31D00E1F" w14:textId="77777777" w:rsidR="00F70E20" w:rsidRDefault="00F70E20" w:rsidP="0099770F">
            <w:pPr>
              <w:jc w:val="center"/>
              <w:rPr>
                <w:color w:val="000000"/>
                <w:sz w:val="22"/>
              </w:rPr>
            </w:pPr>
          </w:p>
        </w:tc>
        <w:tc>
          <w:tcPr>
            <w:tcW w:w="637" w:type="dxa"/>
            <w:tcBorders>
              <w:top w:val="nil"/>
              <w:left w:val="nil"/>
              <w:bottom w:val="single" w:sz="12" w:space="0" w:color="auto"/>
              <w:right w:val="nil"/>
            </w:tcBorders>
            <w:shd w:val="clear" w:color="auto" w:fill="auto"/>
            <w:noWrap/>
            <w:vAlign w:val="center"/>
          </w:tcPr>
          <w:p w14:paraId="15BA9674" w14:textId="77777777" w:rsidR="00F70E20" w:rsidRDefault="00F70E20" w:rsidP="0099770F">
            <w:pPr>
              <w:jc w:val="center"/>
              <w:rPr>
                <w:color w:val="000000"/>
                <w:sz w:val="22"/>
              </w:rPr>
            </w:pPr>
          </w:p>
        </w:tc>
        <w:tc>
          <w:tcPr>
            <w:tcW w:w="541" w:type="dxa"/>
            <w:tcBorders>
              <w:top w:val="nil"/>
              <w:left w:val="nil"/>
              <w:bottom w:val="single" w:sz="12" w:space="0" w:color="auto"/>
              <w:right w:val="nil"/>
            </w:tcBorders>
            <w:vAlign w:val="center"/>
          </w:tcPr>
          <w:p w14:paraId="322A95CA" w14:textId="77777777" w:rsidR="00F70E20" w:rsidRDefault="00F70E20" w:rsidP="0099770F">
            <w:pPr>
              <w:jc w:val="center"/>
              <w:rPr>
                <w:color w:val="000000"/>
                <w:sz w:val="22"/>
              </w:rPr>
            </w:pPr>
          </w:p>
        </w:tc>
      </w:tr>
    </w:tbl>
    <w:p w14:paraId="5F1A18C2" w14:textId="77777777" w:rsidR="00F70E20" w:rsidRDefault="00F70E20" w:rsidP="00F70E20">
      <w:pPr>
        <w:rPr>
          <w:i/>
          <w:iCs/>
          <w:sz w:val="22"/>
        </w:rPr>
      </w:pPr>
      <w:r>
        <w:rPr>
          <w:i/>
          <w:iCs/>
          <w:sz w:val="22"/>
        </w:rPr>
        <w:t>N=169. Correlations with absolute value &gt;0.15 are significant with p&lt;0.05.</w:t>
      </w:r>
    </w:p>
    <w:p w14:paraId="3018D55B" w14:textId="77777777" w:rsidR="00F70E20" w:rsidRDefault="00F70E20" w:rsidP="00F70E20">
      <w:pPr>
        <w:rPr>
          <w:i/>
          <w:iCs/>
          <w:sz w:val="22"/>
        </w:rPr>
        <w:sectPr w:rsidR="00F70E20" w:rsidSect="001C3912">
          <w:headerReference w:type="even" r:id="rId20"/>
          <w:headerReference w:type="default" r:id="rId21"/>
          <w:footerReference w:type="even" r:id="rId22"/>
          <w:footerReference w:type="default" r:id="rId23"/>
          <w:headerReference w:type="first" r:id="rId24"/>
          <w:footerReference w:type="first" r:id="rId25"/>
          <w:pgSz w:w="15840" w:h="12240" w:orient="landscape"/>
          <w:pgMar w:top="1440" w:right="1440" w:bottom="1440" w:left="1440" w:header="720" w:footer="720" w:gutter="0"/>
          <w:cols w:space="720"/>
          <w:docGrid w:linePitch="360"/>
        </w:sectPr>
      </w:pPr>
    </w:p>
    <w:p w14:paraId="0973CA65" w14:textId="77777777" w:rsidR="00F70E20" w:rsidRDefault="00F70E20" w:rsidP="00F70E20">
      <w:pPr>
        <w:rPr>
          <w:b/>
          <w:bCs/>
        </w:rPr>
      </w:pPr>
      <w:r>
        <w:rPr>
          <w:b/>
          <w:bCs/>
        </w:rPr>
        <w:lastRenderedPageBreak/>
        <w:t xml:space="preserve">Table 2: </w:t>
      </w:r>
      <w:bookmarkStart w:id="85" w:name="_Hlk44416778"/>
      <w:r>
        <w:rPr>
          <w:b/>
          <w:bCs/>
        </w:rPr>
        <w:t>Tobit model results</w:t>
      </w:r>
      <w:bookmarkEnd w:id="85"/>
    </w:p>
    <w:p w14:paraId="3A283A91" w14:textId="77777777" w:rsidR="00F70E20" w:rsidRDefault="00F70E20" w:rsidP="00F70E20">
      <w:pPr>
        <w:rPr>
          <w:b/>
          <w:bCs/>
        </w:rPr>
      </w:pPr>
    </w:p>
    <w:tbl>
      <w:tblPr>
        <w:tblW w:w="7690" w:type="dxa"/>
        <w:tblLook w:val="04A0" w:firstRow="1" w:lastRow="0" w:firstColumn="1" w:lastColumn="0" w:noHBand="0" w:noVBand="1"/>
      </w:tblPr>
      <w:tblGrid>
        <w:gridCol w:w="2410"/>
        <w:gridCol w:w="1056"/>
        <w:gridCol w:w="1056"/>
        <w:gridCol w:w="1056"/>
        <w:gridCol w:w="1056"/>
        <w:gridCol w:w="1056"/>
      </w:tblGrid>
      <w:tr w:rsidR="00F70E20" w:rsidRPr="00A65CFF" w14:paraId="56F9D678" w14:textId="77777777" w:rsidTr="00F70E20">
        <w:trPr>
          <w:trHeight w:val="290"/>
        </w:trPr>
        <w:tc>
          <w:tcPr>
            <w:tcW w:w="2410" w:type="dxa"/>
            <w:tcBorders>
              <w:top w:val="single" w:sz="12" w:space="0" w:color="auto"/>
              <w:left w:val="nil"/>
              <w:bottom w:val="single" w:sz="4" w:space="0" w:color="auto"/>
              <w:right w:val="nil"/>
            </w:tcBorders>
            <w:shd w:val="clear" w:color="auto" w:fill="auto"/>
            <w:noWrap/>
            <w:vAlign w:val="bottom"/>
          </w:tcPr>
          <w:p w14:paraId="2C0C6E55" w14:textId="77777777" w:rsidR="00F70E20" w:rsidRPr="00CB425F" w:rsidRDefault="00F70E20" w:rsidP="0099770F">
            <w:pPr>
              <w:rPr>
                <w:color w:val="000000"/>
              </w:rPr>
            </w:pPr>
          </w:p>
        </w:tc>
        <w:tc>
          <w:tcPr>
            <w:tcW w:w="1056" w:type="dxa"/>
            <w:tcBorders>
              <w:top w:val="single" w:sz="12" w:space="0" w:color="auto"/>
              <w:left w:val="nil"/>
              <w:bottom w:val="single" w:sz="4" w:space="0" w:color="auto"/>
              <w:right w:val="nil"/>
            </w:tcBorders>
            <w:shd w:val="clear" w:color="auto" w:fill="auto"/>
            <w:noWrap/>
            <w:vAlign w:val="bottom"/>
          </w:tcPr>
          <w:p w14:paraId="73F17231" w14:textId="77777777" w:rsidR="00F70E20" w:rsidRPr="00CB425F" w:rsidRDefault="00F70E20" w:rsidP="0099770F">
            <w:pPr>
              <w:rPr>
                <w:b/>
                <w:bCs/>
                <w:color w:val="000000"/>
              </w:rPr>
            </w:pPr>
            <w:r w:rsidRPr="00CB425F">
              <w:rPr>
                <w:b/>
                <w:bCs/>
                <w:color w:val="000000"/>
              </w:rPr>
              <w:t>Model 1</w:t>
            </w:r>
          </w:p>
        </w:tc>
        <w:tc>
          <w:tcPr>
            <w:tcW w:w="1056" w:type="dxa"/>
            <w:tcBorders>
              <w:top w:val="single" w:sz="12" w:space="0" w:color="auto"/>
              <w:left w:val="nil"/>
              <w:bottom w:val="single" w:sz="4" w:space="0" w:color="auto"/>
              <w:right w:val="nil"/>
            </w:tcBorders>
            <w:shd w:val="clear" w:color="auto" w:fill="auto"/>
            <w:noWrap/>
            <w:vAlign w:val="bottom"/>
          </w:tcPr>
          <w:p w14:paraId="10B6AE4D" w14:textId="77777777" w:rsidR="00F70E20" w:rsidRPr="00CB425F" w:rsidRDefault="00F70E20" w:rsidP="0099770F">
            <w:pPr>
              <w:rPr>
                <w:b/>
                <w:bCs/>
                <w:color w:val="000000"/>
              </w:rPr>
            </w:pPr>
            <w:r w:rsidRPr="00CB425F">
              <w:rPr>
                <w:b/>
                <w:bCs/>
                <w:color w:val="000000"/>
              </w:rPr>
              <w:t>Model 2</w:t>
            </w:r>
          </w:p>
        </w:tc>
        <w:tc>
          <w:tcPr>
            <w:tcW w:w="1056" w:type="dxa"/>
            <w:tcBorders>
              <w:top w:val="single" w:sz="12" w:space="0" w:color="auto"/>
              <w:left w:val="nil"/>
              <w:bottom w:val="single" w:sz="4" w:space="0" w:color="auto"/>
              <w:right w:val="nil"/>
            </w:tcBorders>
            <w:shd w:val="clear" w:color="auto" w:fill="auto"/>
            <w:noWrap/>
            <w:vAlign w:val="bottom"/>
          </w:tcPr>
          <w:p w14:paraId="4B49740C" w14:textId="77777777" w:rsidR="00F70E20" w:rsidRPr="00CB425F" w:rsidRDefault="00F70E20" w:rsidP="0099770F">
            <w:pPr>
              <w:rPr>
                <w:b/>
                <w:bCs/>
                <w:color w:val="000000"/>
              </w:rPr>
            </w:pPr>
            <w:r w:rsidRPr="00CB425F">
              <w:rPr>
                <w:b/>
                <w:bCs/>
                <w:color w:val="000000"/>
              </w:rPr>
              <w:t>Model 3</w:t>
            </w:r>
          </w:p>
        </w:tc>
        <w:tc>
          <w:tcPr>
            <w:tcW w:w="1056" w:type="dxa"/>
            <w:tcBorders>
              <w:top w:val="single" w:sz="12" w:space="0" w:color="auto"/>
              <w:left w:val="nil"/>
              <w:bottom w:val="single" w:sz="4" w:space="0" w:color="auto"/>
              <w:right w:val="nil"/>
            </w:tcBorders>
            <w:shd w:val="clear" w:color="auto" w:fill="auto"/>
            <w:noWrap/>
            <w:vAlign w:val="bottom"/>
          </w:tcPr>
          <w:p w14:paraId="5BF5D36A" w14:textId="77777777" w:rsidR="00F70E20" w:rsidRPr="00CB425F" w:rsidRDefault="00F70E20" w:rsidP="0099770F">
            <w:pPr>
              <w:rPr>
                <w:b/>
                <w:bCs/>
                <w:color w:val="000000"/>
              </w:rPr>
            </w:pPr>
            <w:r w:rsidRPr="00CB425F">
              <w:rPr>
                <w:b/>
                <w:bCs/>
                <w:color w:val="000000"/>
              </w:rPr>
              <w:t>Model 4</w:t>
            </w:r>
          </w:p>
        </w:tc>
        <w:tc>
          <w:tcPr>
            <w:tcW w:w="1056" w:type="dxa"/>
            <w:tcBorders>
              <w:top w:val="single" w:sz="12" w:space="0" w:color="auto"/>
              <w:left w:val="nil"/>
              <w:bottom w:val="single" w:sz="4" w:space="0" w:color="auto"/>
              <w:right w:val="nil"/>
            </w:tcBorders>
            <w:shd w:val="clear" w:color="auto" w:fill="auto"/>
            <w:noWrap/>
            <w:vAlign w:val="bottom"/>
          </w:tcPr>
          <w:p w14:paraId="00BC684C" w14:textId="77777777" w:rsidR="00F70E20" w:rsidRPr="00CB425F" w:rsidRDefault="00F70E20" w:rsidP="0099770F">
            <w:pPr>
              <w:rPr>
                <w:b/>
                <w:bCs/>
                <w:color w:val="000000"/>
              </w:rPr>
            </w:pPr>
            <w:r w:rsidRPr="00CB425F">
              <w:rPr>
                <w:b/>
                <w:bCs/>
                <w:color w:val="000000"/>
              </w:rPr>
              <w:t>Model 5</w:t>
            </w:r>
          </w:p>
        </w:tc>
      </w:tr>
      <w:tr w:rsidR="00F70E20" w:rsidRPr="00A65CFF" w14:paraId="3CF33325" w14:textId="77777777" w:rsidTr="00F70E20">
        <w:trPr>
          <w:trHeight w:hRule="exact" w:val="144"/>
        </w:trPr>
        <w:tc>
          <w:tcPr>
            <w:tcW w:w="2410" w:type="dxa"/>
            <w:tcBorders>
              <w:top w:val="single" w:sz="4" w:space="0" w:color="auto"/>
              <w:left w:val="nil"/>
              <w:bottom w:val="nil"/>
              <w:right w:val="nil"/>
            </w:tcBorders>
            <w:shd w:val="clear" w:color="auto" w:fill="auto"/>
            <w:noWrap/>
            <w:vAlign w:val="bottom"/>
          </w:tcPr>
          <w:p w14:paraId="49A58F8A" w14:textId="77777777" w:rsidR="00F70E20" w:rsidRPr="00CB425F" w:rsidRDefault="00F70E20" w:rsidP="0099770F">
            <w:pPr>
              <w:rPr>
                <w:color w:val="000000"/>
              </w:rPr>
            </w:pPr>
          </w:p>
        </w:tc>
        <w:tc>
          <w:tcPr>
            <w:tcW w:w="1056" w:type="dxa"/>
            <w:tcBorders>
              <w:top w:val="single" w:sz="4" w:space="0" w:color="auto"/>
              <w:left w:val="nil"/>
              <w:bottom w:val="nil"/>
              <w:right w:val="nil"/>
            </w:tcBorders>
            <w:shd w:val="clear" w:color="auto" w:fill="auto"/>
            <w:noWrap/>
            <w:vAlign w:val="center"/>
          </w:tcPr>
          <w:p w14:paraId="6F806D2F" w14:textId="77777777" w:rsidR="00F70E20" w:rsidRPr="00CB425F" w:rsidRDefault="00F70E20" w:rsidP="0099770F">
            <w:pPr>
              <w:jc w:val="center"/>
              <w:rPr>
                <w:color w:val="000000"/>
              </w:rPr>
            </w:pPr>
          </w:p>
        </w:tc>
        <w:tc>
          <w:tcPr>
            <w:tcW w:w="1056" w:type="dxa"/>
            <w:tcBorders>
              <w:top w:val="single" w:sz="4" w:space="0" w:color="auto"/>
              <w:left w:val="nil"/>
              <w:bottom w:val="nil"/>
              <w:right w:val="nil"/>
            </w:tcBorders>
            <w:shd w:val="clear" w:color="auto" w:fill="auto"/>
            <w:noWrap/>
            <w:vAlign w:val="center"/>
          </w:tcPr>
          <w:p w14:paraId="2CE98BED" w14:textId="77777777" w:rsidR="00F70E20" w:rsidRPr="00CB425F" w:rsidRDefault="00F70E20" w:rsidP="0099770F">
            <w:pPr>
              <w:jc w:val="center"/>
              <w:rPr>
                <w:color w:val="000000"/>
              </w:rPr>
            </w:pPr>
          </w:p>
        </w:tc>
        <w:tc>
          <w:tcPr>
            <w:tcW w:w="1056" w:type="dxa"/>
            <w:tcBorders>
              <w:top w:val="single" w:sz="4" w:space="0" w:color="auto"/>
              <w:left w:val="nil"/>
              <w:bottom w:val="nil"/>
              <w:right w:val="nil"/>
            </w:tcBorders>
            <w:shd w:val="clear" w:color="auto" w:fill="auto"/>
            <w:noWrap/>
            <w:vAlign w:val="center"/>
          </w:tcPr>
          <w:p w14:paraId="16A9D3A6" w14:textId="77777777" w:rsidR="00F70E20" w:rsidRPr="00CB425F" w:rsidRDefault="00F70E20" w:rsidP="0099770F">
            <w:pPr>
              <w:jc w:val="center"/>
              <w:rPr>
                <w:color w:val="000000"/>
              </w:rPr>
            </w:pPr>
          </w:p>
        </w:tc>
        <w:tc>
          <w:tcPr>
            <w:tcW w:w="1056" w:type="dxa"/>
            <w:tcBorders>
              <w:top w:val="single" w:sz="4" w:space="0" w:color="auto"/>
              <w:left w:val="nil"/>
              <w:bottom w:val="nil"/>
              <w:right w:val="nil"/>
            </w:tcBorders>
            <w:shd w:val="clear" w:color="auto" w:fill="auto"/>
            <w:noWrap/>
            <w:vAlign w:val="center"/>
          </w:tcPr>
          <w:p w14:paraId="0C2944E6" w14:textId="77777777" w:rsidR="00F70E20" w:rsidRPr="00CB425F" w:rsidRDefault="00F70E20" w:rsidP="0099770F">
            <w:pPr>
              <w:jc w:val="center"/>
              <w:rPr>
                <w:color w:val="000000"/>
              </w:rPr>
            </w:pPr>
          </w:p>
        </w:tc>
        <w:tc>
          <w:tcPr>
            <w:tcW w:w="1056" w:type="dxa"/>
            <w:tcBorders>
              <w:top w:val="single" w:sz="4" w:space="0" w:color="auto"/>
              <w:left w:val="nil"/>
              <w:bottom w:val="nil"/>
              <w:right w:val="nil"/>
            </w:tcBorders>
            <w:shd w:val="clear" w:color="auto" w:fill="auto"/>
            <w:noWrap/>
            <w:vAlign w:val="center"/>
          </w:tcPr>
          <w:p w14:paraId="2644EADF" w14:textId="77777777" w:rsidR="00F70E20" w:rsidRPr="00CB425F" w:rsidRDefault="00F70E20" w:rsidP="0099770F">
            <w:pPr>
              <w:jc w:val="center"/>
              <w:rPr>
                <w:color w:val="000000"/>
              </w:rPr>
            </w:pPr>
          </w:p>
        </w:tc>
      </w:tr>
      <w:tr w:rsidR="00F70E20" w:rsidRPr="00A65CFF" w14:paraId="26A79C84" w14:textId="77777777" w:rsidTr="00F70E20">
        <w:trPr>
          <w:trHeight w:val="290"/>
        </w:trPr>
        <w:tc>
          <w:tcPr>
            <w:tcW w:w="2410" w:type="dxa"/>
            <w:vMerge w:val="restart"/>
            <w:tcBorders>
              <w:top w:val="nil"/>
              <w:left w:val="nil"/>
              <w:right w:val="nil"/>
            </w:tcBorders>
            <w:shd w:val="clear" w:color="auto" w:fill="auto"/>
            <w:noWrap/>
            <w:vAlign w:val="center"/>
            <w:hideMark/>
          </w:tcPr>
          <w:p w14:paraId="58FDECE1" w14:textId="77777777" w:rsidR="00F70E20" w:rsidRPr="00CB425F" w:rsidRDefault="00F70E20" w:rsidP="0099770F">
            <w:pPr>
              <w:rPr>
                <w:color w:val="000000"/>
              </w:rPr>
            </w:pPr>
            <w:r w:rsidRPr="00CB425F">
              <w:rPr>
                <w:color w:val="000000"/>
              </w:rPr>
              <w:t>Total assets</w:t>
            </w:r>
          </w:p>
        </w:tc>
        <w:tc>
          <w:tcPr>
            <w:tcW w:w="1056" w:type="dxa"/>
            <w:tcBorders>
              <w:top w:val="nil"/>
              <w:left w:val="nil"/>
              <w:bottom w:val="nil"/>
              <w:right w:val="nil"/>
            </w:tcBorders>
            <w:shd w:val="clear" w:color="auto" w:fill="auto"/>
            <w:noWrap/>
            <w:vAlign w:val="bottom"/>
          </w:tcPr>
          <w:p w14:paraId="207556CC" w14:textId="77777777" w:rsidR="00F70E20" w:rsidRPr="00CB425F" w:rsidRDefault="00F70E20" w:rsidP="0099770F">
            <w:pPr>
              <w:jc w:val="center"/>
              <w:rPr>
                <w:color w:val="000000"/>
              </w:rPr>
            </w:pPr>
            <w:r w:rsidRPr="00CB425F">
              <w:rPr>
                <w:color w:val="000000"/>
              </w:rPr>
              <w:t>0.0585</w:t>
            </w:r>
          </w:p>
        </w:tc>
        <w:tc>
          <w:tcPr>
            <w:tcW w:w="1056" w:type="dxa"/>
            <w:tcBorders>
              <w:top w:val="nil"/>
              <w:left w:val="nil"/>
              <w:bottom w:val="nil"/>
              <w:right w:val="nil"/>
            </w:tcBorders>
            <w:shd w:val="clear" w:color="auto" w:fill="auto"/>
            <w:noWrap/>
            <w:vAlign w:val="bottom"/>
          </w:tcPr>
          <w:p w14:paraId="508F8888" w14:textId="77777777" w:rsidR="00F70E20" w:rsidRPr="00CB425F" w:rsidRDefault="00F70E20" w:rsidP="0099770F">
            <w:pPr>
              <w:jc w:val="center"/>
              <w:rPr>
                <w:color w:val="000000"/>
              </w:rPr>
            </w:pPr>
            <w:r w:rsidRPr="00CB425F">
              <w:rPr>
                <w:color w:val="000000"/>
              </w:rPr>
              <w:t>0.0592</w:t>
            </w:r>
          </w:p>
        </w:tc>
        <w:tc>
          <w:tcPr>
            <w:tcW w:w="1056" w:type="dxa"/>
            <w:tcBorders>
              <w:top w:val="nil"/>
              <w:left w:val="nil"/>
              <w:bottom w:val="nil"/>
              <w:right w:val="nil"/>
            </w:tcBorders>
            <w:shd w:val="clear" w:color="auto" w:fill="auto"/>
            <w:noWrap/>
            <w:vAlign w:val="bottom"/>
          </w:tcPr>
          <w:p w14:paraId="2D759AA1" w14:textId="77777777" w:rsidR="00F70E20" w:rsidRPr="00CB425F" w:rsidRDefault="00F70E20" w:rsidP="0099770F">
            <w:pPr>
              <w:jc w:val="center"/>
              <w:rPr>
                <w:color w:val="000000"/>
              </w:rPr>
            </w:pPr>
            <w:r w:rsidRPr="00CB425F">
              <w:rPr>
                <w:color w:val="000000"/>
              </w:rPr>
              <w:t>0.0622</w:t>
            </w:r>
          </w:p>
        </w:tc>
        <w:tc>
          <w:tcPr>
            <w:tcW w:w="1056" w:type="dxa"/>
            <w:tcBorders>
              <w:top w:val="nil"/>
              <w:left w:val="nil"/>
              <w:bottom w:val="nil"/>
              <w:right w:val="nil"/>
            </w:tcBorders>
            <w:shd w:val="clear" w:color="auto" w:fill="auto"/>
            <w:noWrap/>
            <w:vAlign w:val="bottom"/>
          </w:tcPr>
          <w:p w14:paraId="13B9E86F" w14:textId="77777777" w:rsidR="00F70E20" w:rsidRPr="00CB425F" w:rsidRDefault="00F70E20" w:rsidP="0099770F">
            <w:pPr>
              <w:jc w:val="center"/>
              <w:rPr>
                <w:color w:val="000000"/>
              </w:rPr>
            </w:pPr>
            <w:r w:rsidRPr="00CB425F">
              <w:rPr>
                <w:color w:val="000000"/>
              </w:rPr>
              <w:t>0.0633</w:t>
            </w:r>
          </w:p>
        </w:tc>
        <w:tc>
          <w:tcPr>
            <w:tcW w:w="1056" w:type="dxa"/>
            <w:tcBorders>
              <w:top w:val="nil"/>
              <w:left w:val="nil"/>
              <w:bottom w:val="nil"/>
              <w:right w:val="nil"/>
            </w:tcBorders>
            <w:shd w:val="clear" w:color="auto" w:fill="auto"/>
            <w:noWrap/>
            <w:vAlign w:val="bottom"/>
          </w:tcPr>
          <w:p w14:paraId="5E16AAE9" w14:textId="77777777" w:rsidR="00F70E20" w:rsidRPr="00CB425F" w:rsidRDefault="00F70E20" w:rsidP="0099770F">
            <w:pPr>
              <w:jc w:val="center"/>
              <w:rPr>
                <w:color w:val="000000"/>
              </w:rPr>
            </w:pPr>
            <w:r w:rsidRPr="00CB425F">
              <w:rPr>
                <w:color w:val="000000"/>
              </w:rPr>
              <w:t>0.0559</w:t>
            </w:r>
          </w:p>
        </w:tc>
      </w:tr>
      <w:tr w:rsidR="00F70E20" w:rsidRPr="00A65CFF" w14:paraId="062F10F9" w14:textId="77777777" w:rsidTr="00F70E20">
        <w:trPr>
          <w:trHeight w:val="290"/>
        </w:trPr>
        <w:tc>
          <w:tcPr>
            <w:tcW w:w="2410" w:type="dxa"/>
            <w:vMerge/>
            <w:tcBorders>
              <w:left w:val="nil"/>
              <w:bottom w:val="nil"/>
              <w:right w:val="nil"/>
            </w:tcBorders>
            <w:shd w:val="clear" w:color="auto" w:fill="auto"/>
            <w:noWrap/>
            <w:vAlign w:val="center"/>
            <w:hideMark/>
          </w:tcPr>
          <w:p w14:paraId="072C2EB3" w14:textId="77777777" w:rsidR="00F70E20" w:rsidRPr="00CB425F" w:rsidRDefault="00F70E20" w:rsidP="0099770F">
            <w:pPr>
              <w:rPr>
                <w:color w:val="000000"/>
              </w:rPr>
            </w:pPr>
          </w:p>
        </w:tc>
        <w:tc>
          <w:tcPr>
            <w:tcW w:w="1056" w:type="dxa"/>
            <w:tcBorders>
              <w:top w:val="nil"/>
              <w:left w:val="nil"/>
              <w:bottom w:val="nil"/>
              <w:right w:val="nil"/>
            </w:tcBorders>
            <w:shd w:val="clear" w:color="auto" w:fill="auto"/>
            <w:noWrap/>
            <w:vAlign w:val="bottom"/>
          </w:tcPr>
          <w:p w14:paraId="45084C17" w14:textId="77777777" w:rsidR="00F70E20" w:rsidRPr="00CB425F" w:rsidRDefault="00F70E20" w:rsidP="0099770F">
            <w:pPr>
              <w:jc w:val="center"/>
              <w:rPr>
                <w:color w:val="000000"/>
              </w:rPr>
            </w:pPr>
            <w:r w:rsidRPr="00CB425F">
              <w:rPr>
                <w:color w:val="000000"/>
              </w:rPr>
              <w:t>(0.000)</w:t>
            </w:r>
          </w:p>
        </w:tc>
        <w:tc>
          <w:tcPr>
            <w:tcW w:w="1056" w:type="dxa"/>
            <w:tcBorders>
              <w:top w:val="nil"/>
              <w:left w:val="nil"/>
              <w:bottom w:val="nil"/>
              <w:right w:val="nil"/>
            </w:tcBorders>
            <w:shd w:val="clear" w:color="auto" w:fill="auto"/>
            <w:noWrap/>
            <w:vAlign w:val="bottom"/>
          </w:tcPr>
          <w:p w14:paraId="6A5BD7A2" w14:textId="77777777" w:rsidR="00F70E20" w:rsidRPr="00CB425F" w:rsidRDefault="00F70E20" w:rsidP="0099770F">
            <w:pPr>
              <w:jc w:val="center"/>
              <w:rPr>
                <w:color w:val="000000"/>
              </w:rPr>
            </w:pPr>
            <w:r w:rsidRPr="00CB425F">
              <w:rPr>
                <w:color w:val="000000"/>
              </w:rPr>
              <w:t>(0.000)</w:t>
            </w:r>
          </w:p>
        </w:tc>
        <w:tc>
          <w:tcPr>
            <w:tcW w:w="1056" w:type="dxa"/>
            <w:tcBorders>
              <w:top w:val="nil"/>
              <w:left w:val="nil"/>
              <w:bottom w:val="nil"/>
              <w:right w:val="nil"/>
            </w:tcBorders>
            <w:shd w:val="clear" w:color="auto" w:fill="auto"/>
            <w:noWrap/>
            <w:vAlign w:val="bottom"/>
          </w:tcPr>
          <w:p w14:paraId="606C546A" w14:textId="77777777" w:rsidR="00F70E20" w:rsidRPr="00CB425F" w:rsidRDefault="00F70E20" w:rsidP="0099770F">
            <w:pPr>
              <w:jc w:val="center"/>
              <w:rPr>
                <w:color w:val="000000"/>
              </w:rPr>
            </w:pPr>
            <w:r w:rsidRPr="00CB425F">
              <w:rPr>
                <w:color w:val="000000"/>
              </w:rPr>
              <w:t>(0.000)</w:t>
            </w:r>
          </w:p>
        </w:tc>
        <w:tc>
          <w:tcPr>
            <w:tcW w:w="1056" w:type="dxa"/>
            <w:tcBorders>
              <w:top w:val="nil"/>
              <w:left w:val="nil"/>
              <w:bottom w:val="nil"/>
              <w:right w:val="nil"/>
            </w:tcBorders>
            <w:shd w:val="clear" w:color="auto" w:fill="auto"/>
            <w:noWrap/>
            <w:vAlign w:val="bottom"/>
          </w:tcPr>
          <w:p w14:paraId="36EF5C4C" w14:textId="77777777" w:rsidR="00F70E20" w:rsidRPr="00CB425F" w:rsidRDefault="00F70E20" w:rsidP="0099770F">
            <w:pPr>
              <w:jc w:val="center"/>
              <w:rPr>
                <w:color w:val="000000"/>
              </w:rPr>
            </w:pPr>
            <w:r w:rsidRPr="00CB425F">
              <w:rPr>
                <w:color w:val="000000"/>
              </w:rPr>
              <w:t>(0.000)</w:t>
            </w:r>
          </w:p>
        </w:tc>
        <w:tc>
          <w:tcPr>
            <w:tcW w:w="1056" w:type="dxa"/>
            <w:tcBorders>
              <w:top w:val="nil"/>
              <w:left w:val="nil"/>
              <w:bottom w:val="nil"/>
              <w:right w:val="nil"/>
            </w:tcBorders>
            <w:shd w:val="clear" w:color="auto" w:fill="auto"/>
            <w:noWrap/>
            <w:vAlign w:val="bottom"/>
          </w:tcPr>
          <w:p w14:paraId="17B497C5" w14:textId="77777777" w:rsidR="00F70E20" w:rsidRPr="00CB425F" w:rsidRDefault="00F70E20" w:rsidP="0099770F">
            <w:pPr>
              <w:jc w:val="center"/>
              <w:rPr>
                <w:color w:val="000000"/>
              </w:rPr>
            </w:pPr>
            <w:r w:rsidRPr="00CB425F">
              <w:rPr>
                <w:color w:val="000000"/>
              </w:rPr>
              <w:t>(0.000)</w:t>
            </w:r>
          </w:p>
        </w:tc>
      </w:tr>
      <w:tr w:rsidR="00F70E20" w:rsidRPr="00A65CFF" w14:paraId="2945D5BE" w14:textId="77777777" w:rsidTr="00F70E20">
        <w:trPr>
          <w:trHeight w:val="290"/>
        </w:trPr>
        <w:tc>
          <w:tcPr>
            <w:tcW w:w="2410" w:type="dxa"/>
            <w:vMerge w:val="restart"/>
            <w:tcBorders>
              <w:top w:val="nil"/>
              <w:left w:val="nil"/>
              <w:right w:val="nil"/>
            </w:tcBorders>
            <w:shd w:val="clear" w:color="auto" w:fill="auto"/>
            <w:noWrap/>
            <w:vAlign w:val="center"/>
            <w:hideMark/>
          </w:tcPr>
          <w:p w14:paraId="56AAE0F8" w14:textId="77777777" w:rsidR="00F70E20" w:rsidRPr="00CB425F" w:rsidRDefault="00F70E20" w:rsidP="0099770F">
            <w:pPr>
              <w:rPr>
                <w:color w:val="000000"/>
              </w:rPr>
            </w:pPr>
            <w:r w:rsidRPr="00CB425F">
              <w:rPr>
                <w:color w:val="000000"/>
              </w:rPr>
              <w:t>Net income</w:t>
            </w:r>
          </w:p>
        </w:tc>
        <w:tc>
          <w:tcPr>
            <w:tcW w:w="1056" w:type="dxa"/>
            <w:tcBorders>
              <w:top w:val="nil"/>
              <w:left w:val="nil"/>
              <w:bottom w:val="nil"/>
              <w:right w:val="nil"/>
            </w:tcBorders>
            <w:shd w:val="clear" w:color="auto" w:fill="auto"/>
            <w:noWrap/>
            <w:vAlign w:val="bottom"/>
          </w:tcPr>
          <w:p w14:paraId="748572FE" w14:textId="77777777" w:rsidR="00F70E20" w:rsidRPr="00CB425F" w:rsidRDefault="00F70E20" w:rsidP="0099770F">
            <w:pPr>
              <w:jc w:val="center"/>
              <w:rPr>
                <w:color w:val="000000"/>
              </w:rPr>
            </w:pPr>
            <w:r w:rsidRPr="00CB425F">
              <w:rPr>
                <w:color w:val="000000"/>
              </w:rPr>
              <w:t>0.191</w:t>
            </w:r>
          </w:p>
        </w:tc>
        <w:tc>
          <w:tcPr>
            <w:tcW w:w="1056" w:type="dxa"/>
            <w:tcBorders>
              <w:top w:val="nil"/>
              <w:left w:val="nil"/>
              <w:bottom w:val="nil"/>
              <w:right w:val="nil"/>
            </w:tcBorders>
            <w:shd w:val="clear" w:color="auto" w:fill="auto"/>
            <w:noWrap/>
            <w:vAlign w:val="bottom"/>
          </w:tcPr>
          <w:p w14:paraId="3E995F81" w14:textId="77777777" w:rsidR="00F70E20" w:rsidRPr="00CB425F" w:rsidRDefault="00F70E20" w:rsidP="0099770F">
            <w:pPr>
              <w:jc w:val="center"/>
              <w:rPr>
                <w:color w:val="000000"/>
              </w:rPr>
            </w:pPr>
            <w:r w:rsidRPr="00CB425F">
              <w:rPr>
                <w:color w:val="000000"/>
              </w:rPr>
              <w:t>0.169</w:t>
            </w:r>
          </w:p>
        </w:tc>
        <w:tc>
          <w:tcPr>
            <w:tcW w:w="1056" w:type="dxa"/>
            <w:tcBorders>
              <w:top w:val="nil"/>
              <w:left w:val="nil"/>
              <w:bottom w:val="nil"/>
              <w:right w:val="nil"/>
            </w:tcBorders>
            <w:shd w:val="clear" w:color="auto" w:fill="auto"/>
            <w:noWrap/>
            <w:vAlign w:val="bottom"/>
          </w:tcPr>
          <w:p w14:paraId="1CF19AA0" w14:textId="77777777" w:rsidR="00F70E20" w:rsidRPr="00CB425F" w:rsidRDefault="00F70E20" w:rsidP="0099770F">
            <w:pPr>
              <w:jc w:val="center"/>
              <w:rPr>
                <w:color w:val="000000"/>
              </w:rPr>
            </w:pPr>
            <w:r w:rsidRPr="00CB425F">
              <w:rPr>
                <w:color w:val="000000"/>
              </w:rPr>
              <w:t>0.214</w:t>
            </w:r>
          </w:p>
        </w:tc>
        <w:tc>
          <w:tcPr>
            <w:tcW w:w="1056" w:type="dxa"/>
            <w:tcBorders>
              <w:top w:val="nil"/>
              <w:left w:val="nil"/>
              <w:bottom w:val="nil"/>
              <w:right w:val="nil"/>
            </w:tcBorders>
            <w:shd w:val="clear" w:color="auto" w:fill="auto"/>
            <w:noWrap/>
            <w:vAlign w:val="bottom"/>
          </w:tcPr>
          <w:p w14:paraId="7BC5BFE4" w14:textId="77777777" w:rsidR="00F70E20" w:rsidRPr="00CB425F" w:rsidRDefault="00F70E20" w:rsidP="0099770F">
            <w:pPr>
              <w:jc w:val="center"/>
              <w:rPr>
                <w:color w:val="000000"/>
              </w:rPr>
            </w:pPr>
            <w:r w:rsidRPr="00CB425F">
              <w:rPr>
                <w:color w:val="000000"/>
              </w:rPr>
              <w:t>0.187</w:t>
            </w:r>
          </w:p>
        </w:tc>
        <w:tc>
          <w:tcPr>
            <w:tcW w:w="1056" w:type="dxa"/>
            <w:tcBorders>
              <w:top w:val="nil"/>
              <w:left w:val="nil"/>
              <w:bottom w:val="nil"/>
              <w:right w:val="nil"/>
            </w:tcBorders>
            <w:shd w:val="clear" w:color="auto" w:fill="auto"/>
            <w:noWrap/>
            <w:vAlign w:val="bottom"/>
          </w:tcPr>
          <w:p w14:paraId="6C5F90E0" w14:textId="77777777" w:rsidR="00F70E20" w:rsidRPr="00CB425F" w:rsidRDefault="00F70E20" w:rsidP="0099770F">
            <w:pPr>
              <w:jc w:val="center"/>
              <w:rPr>
                <w:color w:val="000000"/>
              </w:rPr>
            </w:pPr>
            <w:r w:rsidRPr="00CB425F">
              <w:rPr>
                <w:color w:val="000000"/>
              </w:rPr>
              <w:t>0.137</w:t>
            </w:r>
          </w:p>
        </w:tc>
      </w:tr>
      <w:tr w:rsidR="00F70E20" w:rsidRPr="00A65CFF" w14:paraId="64431AF1" w14:textId="77777777" w:rsidTr="00F70E20">
        <w:trPr>
          <w:trHeight w:val="290"/>
        </w:trPr>
        <w:tc>
          <w:tcPr>
            <w:tcW w:w="2410" w:type="dxa"/>
            <w:vMerge/>
            <w:tcBorders>
              <w:left w:val="nil"/>
              <w:bottom w:val="nil"/>
              <w:right w:val="nil"/>
            </w:tcBorders>
            <w:shd w:val="clear" w:color="auto" w:fill="auto"/>
            <w:noWrap/>
            <w:vAlign w:val="center"/>
            <w:hideMark/>
          </w:tcPr>
          <w:p w14:paraId="772590F1" w14:textId="77777777" w:rsidR="00F70E20" w:rsidRPr="00CB425F" w:rsidRDefault="00F70E20" w:rsidP="0099770F">
            <w:pPr>
              <w:rPr>
                <w:color w:val="000000"/>
              </w:rPr>
            </w:pPr>
          </w:p>
        </w:tc>
        <w:tc>
          <w:tcPr>
            <w:tcW w:w="1056" w:type="dxa"/>
            <w:tcBorders>
              <w:top w:val="nil"/>
              <w:left w:val="nil"/>
              <w:bottom w:val="nil"/>
              <w:right w:val="nil"/>
            </w:tcBorders>
            <w:shd w:val="clear" w:color="auto" w:fill="auto"/>
            <w:noWrap/>
            <w:vAlign w:val="bottom"/>
          </w:tcPr>
          <w:p w14:paraId="77367338" w14:textId="77777777" w:rsidR="00F70E20" w:rsidRPr="00CB425F" w:rsidRDefault="00F70E20" w:rsidP="0099770F">
            <w:pPr>
              <w:jc w:val="center"/>
              <w:rPr>
                <w:color w:val="000000"/>
              </w:rPr>
            </w:pPr>
            <w:r w:rsidRPr="00CB425F">
              <w:rPr>
                <w:color w:val="000000"/>
              </w:rPr>
              <w:t>(0.049)</w:t>
            </w:r>
          </w:p>
        </w:tc>
        <w:tc>
          <w:tcPr>
            <w:tcW w:w="1056" w:type="dxa"/>
            <w:tcBorders>
              <w:top w:val="nil"/>
              <w:left w:val="nil"/>
              <w:bottom w:val="nil"/>
              <w:right w:val="nil"/>
            </w:tcBorders>
            <w:shd w:val="clear" w:color="auto" w:fill="auto"/>
            <w:noWrap/>
            <w:vAlign w:val="bottom"/>
          </w:tcPr>
          <w:p w14:paraId="7EEF2D57" w14:textId="77777777" w:rsidR="00F70E20" w:rsidRPr="00CB425F" w:rsidRDefault="00F70E20" w:rsidP="0099770F">
            <w:pPr>
              <w:jc w:val="center"/>
              <w:rPr>
                <w:color w:val="000000"/>
              </w:rPr>
            </w:pPr>
            <w:r w:rsidRPr="00CB425F">
              <w:rPr>
                <w:color w:val="000000"/>
              </w:rPr>
              <w:t>(0.077)</w:t>
            </w:r>
          </w:p>
        </w:tc>
        <w:tc>
          <w:tcPr>
            <w:tcW w:w="1056" w:type="dxa"/>
            <w:tcBorders>
              <w:top w:val="nil"/>
              <w:left w:val="nil"/>
              <w:bottom w:val="nil"/>
              <w:right w:val="nil"/>
            </w:tcBorders>
            <w:shd w:val="clear" w:color="auto" w:fill="auto"/>
            <w:noWrap/>
            <w:vAlign w:val="bottom"/>
          </w:tcPr>
          <w:p w14:paraId="38AB6881" w14:textId="77777777" w:rsidR="00F70E20" w:rsidRPr="00CB425F" w:rsidRDefault="00F70E20" w:rsidP="0099770F">
            <w:pPr>
              <w:jc w:val="center"/>
              <w:rPr>
                <w:color w:val="000000"/>
              </w:rPr>
            </w:pPr>
            <w:r w:rsidRPr="00CB425F">
              <w:rPr>
                <w:color w:val="000000"/>
              </w:rPr>
              <w:t>(0.032)</w:t>
            </w:r>
          </w:p>
        </w:tc>
        <w:tc>
          <w:tcPr>
            <w:tcW w:w="1056" w:type="dxa"/>
            <w:tcBorders>
              <w:top w:val="nil"/>
              <w:left w:val="nil"/>
              <w:bottom w:val="nil"/>
              <w:right w:val="nil"/>
            </w:tcBorders>
            <w:shd w:val="clear" w:color="auto" w:fill="auto"/>
            <w:noWrap/>
            <w:vAlign w:val="bottom"/>
          </w:tcPr>
          <w:p w14:paraId="22D4E71F" w14:textId="77777777" w:rsidR="00F70E20" w:rsidRPr="00CB425F" w:rsidRDefault="00F70E20" w:rsidP="0099770F">
            <w:pPr>
              <w:jc w:val="center"/>
              <w:rPr>
                <w:color w:val="000000"/>
              </w:rPr>
            </w:pPr>
            <w:r w:rsidRPr="00CB425F">
              <w:rPr>
                <w:color w:val="000000"/>
              </w:rPr>
              <w:t>(0.056)</w:t>
            </w:r>
          </w:p>
        </w:tc>
        <w:tc>
          <w:tcPr>
            <w:tcW w:w="1056" w:type="dxa"/>
            <w:tcBorders>
              <w:top w:val="nil"/>
              <w:left w:val="nil"/>
              <w:bottom w:val="nil"/>
              <w:right w:val="nil"/>
            </w:tcBorders>
            <w:shd w:val="clear" w:color="auto" w:fill="auto"/>
            <w:noWrap/>
            <w:vAlign w:val="bottom"/>
          </w:tcPr>
          <w:p w14:paraId="5CB343F6" w14:textId="77777777" w:rsidR="00F70E20" w:rsidRPr="00CB425F" w:rsidRDefault="00F70E20" w:rsidP="0099770F">
            <w:pPr>
              <w:jc w:val="center"/>
              <w:rPr>
                <w:color w:val="000000"/>
              </w:rPr>
            </w:pPr>
            <w:r w:rsidRPr="00CB425F">
              <w:rPr>
                <w:color w:val="000000"/>
              </w:rPr>
              <w:t>(0.161)</w:t>
            </w:r>
          </w:p>
        </w:tc>
      </w:tr>
      <w:tr w:rsidR="00F70E20" w:rsidRPr="00A65CFF" w14:paraId="3EA8AF41" w14:textId="77777777" w:rsidTr="00F70E20">
        <w:trPr>
          <w:trHeight w:val="290"/>
        </w:trPr>
        <w:tc>
          <w:tcPr>
            <w:tcW w:w="2410" w:type="dxa"/>
            <w:vMerge w:val="restart"/>
            <w:tcBorders>
              <w:top w:val="nil"/>
              <w:left w:val="nil"/>
              <w:right w:val="nil"/>
            </w:tcBorders>
            <w:shd w:val="clear" w:color="auto" w:fill="auto"/>
            <w:noWrap/>
            <w:vAlign w:val="center"/>
            <w:hideMark/>
          </w:tcPr>
          <w:p w14:paraId="7D6D82F0" w14:textId="77777777" w:rsidR="00F70E20" w:rsidRPr="00CB425F" w:rsidRDefault="00F70E20" w:rsidP="0099770F">
            <w:pPr>
              <w:rPr>
                <w:color w:val="000000"/>
              </w:rPr>
            </w:pPr>
            <w:r w:rsidRPr="00CB425F">
              <w:rPr>
                <w:color w:val="000000"/>
              </w:rPr>
              <w:t>Age at IPO</w:t>
            </w:r>
          </w:p>
        </w:tc>
        <w:tc>
          <w:tcPr>
            <w:tcW w:w="1056" w:type="dxa"/>
            <w:tcBorders>
              <w:top w:val="nil"/>
              <w:left w:val="nil"/>
              <w:bottom w:val="nil"/>
              <w:right w:val="nil"/>
            </w:tcBorders>
            <w:shd w:val="clear" w:color="auto" w:fill="auto"/>
            <w:noWrap/>
            <w:vAlign w:val="bottom"/>
          </w:tcPr>
          <w:p w14:paraId="6D4526E6" w14:textId="77777777" w:rsidR="00F70E20" w:rsidRPr="00CB425F" w:rsidRDefault="00F70E20" w:rsidP="0099770F">
            <w:pPr>
              <w:jc w:val="center"/>
              <w:rPr>
                <w:color w:val="000000"/>
              </w:rPr>
            </w:pPr>
            <w:r w:rsidRPr="00CB425F">
              <w:rPr>
                <w:color w:val="000000"/>
              </w:rPr>
              <w:t>0.00371</w:t>
            </w:r>
          </w:p>
        </w:tc>
        <w:tc>
          <w:tcPr>
            <w:tcW w:w="1056" w:type="dxa"/>
            <w:tcBorders>
              <w:top w:val="nil"/>
              <w:left w:val="nil"/>
              <w:bottom w:val="nil"/>
              <w:right w:val="nil"/>
            </w:tcBorders>
            <w:shd w:val="clear" w:color="auto" w:fill="auto"/>
            <w:noWrap/>
            <w:vAlign w:val="bottom"/>
          </w:tcPr>
          <w:p w14:paraId="10F22D2F" w14:textId="77777777" w:rsidR="00F70E20" w:rsidRPr="00CB425F" w:rsidRDefault="00F70E20" w:rsidP="0099770F">
            <w:pPr>
              <w:jc w:val="center"/>
              <w:rPr>
                <w:color w:val="000000"/>
              </w:rPr>
            </w:pPr>
            <w:r w:rsidRPr="00CB425F">
              <w:rPr>
                <w:color w:val="000000"/>
              </w:rPr>
              <w:t>0.00232</w:t>
            </w:r>
          </w:p>
        </w:tc>
        <w:tc>
          <w:tcPr>
            <w:tcW w:w="1056" w:type="dxa"/>
            <w:tcBorders>
              <w:top w:val="nil"/>
              <w:left w:val="nil"/>
              <w:bottom w:val="nil"/>
              <w:right w:val="nil"/>
            </w:tcBorders>
            <w:shd w:val="clear" w:color="auto" w:fill="auto"/>
            <w:noWrap/>
            <w:vAlign w:val="bottom"/>
          </w:tcPr>
          <w:p w14:paraId="35BC1FA5" w14:textId="77777777" w:rsidR="00F70E20" w:rsidRPr="00CB425F" w:rsidRDefault="00F70E20" w:rsidP="0099770F">
            <w:pPr>
              <w:jc w:val="center"/>
              <w:rPr>
                <w:color w:val="000000"/>
              </w:rPr>
            </w:pPr>
            <w:r w:rsidRPr="00CB425F">
              <w:rPr>
                <w:color w:val="000000"/>
              </w:rPr>
              <w:t>0.00391</w:t>
            </w:r>
          </w:p>
        </w:tc>
        <w:tc>
          <w:tcPr>
            <w:tcW w:w="1056" w:type="dxa"/>
            <w:tcBorders>
              <w:top w:val="nil"/>
              <w:left w:val="nil"/>
              <w:bottom w:val="nil"/>
              <w:right w:val="nil"/>
            </w:tcBorders>
            <w:shd w:val="clear" w:color="auto" w:fill="auto"/>
            <w:noWrap/>
            <w:vAlign w:val="bottom"/>
          </w:tcPr>
          <w:p w14:paraId="0D16BFEE" w14:textId="77777777" w:rsidR="00F70E20" w:rsidRPr="00CB425F" w:rsidRDefault="00F70E20" w:rsidP="0099770F">
            <w:pPr>
              <w:jc w:val="center"/>
              <w:rPr>
                <w:color w:val="000000"/>
              </w:rPr>
            </w:pPr>
            <w:r w:rsidRPr="00CB425F">
              <w:rPr>
                <w:color w:val="000000"/>
              </w:rPr>
              <w:t>0.00203</w:t>
            </w:r>
          </w:p>
        </w:tc>
        <w:tc>
          <w:tcPr>
            <w:tcW w:w="1056" w:type="dxa"/>
            <w:tcBorders>
              <w:top w:val="nil"/>
              <w:left w:val="nil"/>
              <w:bottom w:val="nil"/>
              <w:right w:val="nil"/>
            </w:tcBorders>
            <w:shd w:val="clear" w:color="auto" w:fill="auto"/>
            <w:noWrap/>
            <w:vAlign w:val="bottom"/>
          </w:tcPr>
          <w:p w14:paraId="3CCDCFC6" w14:textId="77777777" w:rsidR="00F70E20" w:rsidRPr="00CB425F" w:rsidRDefault="00F70E20" w:rsidP="0099770F">
            <w:pPr>
              <w:jc w:val="center"/>
              <w:rPr>
                <w:color w:val="000000"/>
              </w:rPr>
            </w:pPr>
            <w:r w:rsidRPr="00CB425F">
              <w:rPr>
                <w:color w:val="000000"/>
              </w:rPr>
              <w:t>0.00329</w:t>
            </w:r>
          </w:p>
        </w:tc>
      </w:tr>
      <w:tr w:rsidR="00F70E20" w:rsidRPr="00A65CFF" w14:paraId="4185577B" w14:textId="77777777" w:rsidTr="00F70E20">
        <w:trPr>
          <w:trHeight w:val="290"/>
        </w:trPr>
        <w:tc>
          <w:tcPr>
            <w:tcW w:w="2410" w:type="dxa"/>
            <w:vMerge/>
            <w:tcBorders>
              <w:left w:val="nil"/>
              <w:bottom w:val="nil"/>
              <w:right w:val="nil"/>
            </w:tcBorders>
            <w:shd w:val="clear" w:color="auto" w:fill="auto"/>
            <w:noWrap/>
            <w:vAlign w:val="bottom"/>
            <w:hideMark/>
          </w:tcPr>
          <w:p w14:paraId="68581FA9" w14:textId="77777777" w:rsidR="00F70E20" w:rsidRPr="00CB425F" w:rsidRDefault="00F70E20" w:rsidP="0099770F">
            <w:pPr>
              <w:rPr>
                <w:color w:val="000000"/>
              </w:rPr>
            </w:pPr>
          </w:p>
        </w:tc>
        <w:tc>
          <w:tcPr>
            <w:tcW w:w="1056" w:type="dxa"/>
            <w:tcBorders>
              <w:top w:val="nil"/>
              <w:left w:val="nil"/>
              <w:bottom w:val="nil"/>
              <w:right w:val="nil"/>
            </w:tcBorders>
            <w:shd w:val="clear" w:color="auto" w:fill="auto"/>
            <w:noWrap/>
            <w:vAlign w:val="bottom"/>
          </w:tcPr>
          <w:p w14:paraId="17C38870" w14:textId="77777777" w:rsidR="00F70E20" w:rsidRPr="00CB425F" w:rsidRDefault="00F70E20" w:rsidP="0099770F">
            <w:pPr>
              <w:jc w:val="center"/>
              <w:rPr>
                <w:color w:val="000000"/>
              </w:rPr>
            </w:pPr>
            <w:r w:rsidRPr="00CB425F">
              <w:rPr>
                <w:color w:val="000000"/>
              </w:rPr>
              <w:t>(0.428)</w:t>
            </w:r>
          </w:p>
        </w:tc>
        <w:tc>
          <w:tcPr>
            <w:tcW w:w="1056" w:type="dxa"/>
            <w:tcBorders>
              <w:top w:val="nil"/>
              <w:left w:val="nil"/>
              <w:bottom w:val="nil"/>
              <w:right w:val="nil"/>
            </w:tcBorders>
            <w:shd w:val="clear" w:color="auto" w:fill="auto"/>
            <w:noWrap/>
            <w:vAlign w:val="bottom"/>
          </w:tcPr>
          <w:p w14:paraId="4355F5B2" w14:textId="77777777" w:rsidR="00F70E20" w:rsidRPr="00CB425F" w:rsidRDefault="00F70E20" w:rsidP="0099770F">
            <w:pPr>
              <w:jc w:val="center"/>
              <w:rPr>
                <w:color w:val="000000"/>
              </w:rPr>
            </w:pPr>
            <w:r w:rsidRPr="00CB425F">
              <w:rPr>
                <w:color w:val="000000"/>
              </w:rPr>
              <w:t>(0.620)</w:t>
            </w:r>
          </w:p>
        </w:tc>
        <w:tc>
          <w:tcPr>
            <w:tcW w:w="1056" w:type="dxa"/>
            <w:tcBorders>
              <w:top w:val="nil"/>
              <w:left w:val="nil"/>
              <w:bottom w:val="nil"/>
              <w:right w:val="nil"/>
            </w:tcBorders>
            <w:shd w:val="clear" w:color="auto" w:fill="auto"/>
            <w:noWrap/>
            <w:vAlign w:val="bottom"/>
          </w:tcPr>
          <w:p w14:paraId="53BF92AB" w14:textId="77777777" w:rsidR="00F70E20" w:rsidRPr="00CB425F" w:rsidRDefault="00F70E20" w:rsidP="0099770F">
            <w:pPr>
              <w:jc w:val="center"/>
              <w:rPr>
                <w:color w:val="000000"/>
              </w:rPr>
            </w:pPr>
            <w:r w:rsidRPr="00CB425F">
              <w:rPr>
                <w:color w:val="000000"/>
              </w:rPr>
              <w:t>(0.401)</w:t>
            </w:r>
          </w:p>
        </w:tc>
        <w:tc>
          <w:tcPr>
            <w:tcW w:w="1056" w:type="dxa"/>
            <w:tcBorders>
              <w:top w:val="nil"/>
              <w:left w:val="nil"/>
              <w:bottom w:val="nil"/>
              <w:right w:val="nil"/>
            </w:tcBorders>
            <w:shd w:val="clear" w:color="auto" w:fill="auto"/>
            <w:noWrap/>
            <w:vAlign w:val="bottom"/>
          </w:tcPr>
          <w:p w14:paraId="776A7E43" w14:textId="77777777" w:rsidR="00F70E20" w:rsidRPr="00CB425F" w:rsidRDefault="00F70E20" w:rsidP="0099770F">
            <w:pPr>
              <w:jc w:val="center"/>
              <w:rPr>
                <w:color w:val="000000"/>
              </w:rPr>
            </w:pPr>
            <w:r w:rsidRPr="00CB425F">
              <w:rPr>
                <w:color w:val="000000"/>
              </w:rPr>
              <w:t>(0.660)</w:t>
            </w:r>
          </w:p>
        </w:tc>
        <w:tc>
          <w:tcPr>
            <w:tcW w:w="1056" w:type="dxa"/>
            <w:tcBorders>
              <w:top w:val="nil"/>
              <w:left w:val="nil"/>
              <w:bottom w:val="nil"/>
              <w:right w:val="nil"/>
            </w:tcBorders>
            <w:shd w:val="clear" w:color="auto" w:fill="auto"/>
            <w:noWrap/>
            <w:vAlign w:val="bottom"/>
          </w:tcPr>
          <w:p w14:paraId="4B7ACFDE" w14:textId="77777777" w:rsidR="00F70E20" w:rsidRPr="00CB425F" w:rsidRDefault="00F70E20" w:rsidP="0099770F">
            <w:pPr>
              <w:jc w:val="center"/>
              <w:rPr>
                <w:color w:val="000000"/>
              </w:rPr>
            </w:pPr>
            <w:r w:rsidRPr="00CB425F">
              <w:rPr>
                <w:color w:val="000000"/>
              </w:rPr>
              <w:t>(0.469)</w:t>
            </w:r>
          </w:p>
        </w:tc>
      </w:tr>
      <w:tr w:rsidR="00F70E20" w:rsidRPr="00A65CFF" w14:paraId="16713941" w14:textId="77777777" w:rsidTr="00F70E20">
        <w:trPr>
          <w:trHeight w:val="290"/>
        </w:trPr>
        <w:tc>
          <w:tcPr>
            <w:tcW w:w="2410" w:type="dxa"/>
            <w:vMerge w:val="restart"/>
            <w:tcBorders>
              <w:top w:val="nil"/>
              <w:left w:val="nil"/>
              <w:right w:val="nil"/>
            </w:tcBorders>
            <w:shd w:val="clear" w:color="auto" w:fill="auto"/>
            <w:noWrap/>
            <w:vAlign w:val="center"/>
            <w:hideMark/>
          </w:tcPr>
          <w:p w14:paraId="3379EFBD" w14:textId="77777777" w:rsidR="00F70E20" w:rsidRPr="00CB425F" w:rsidRDefault="00F70E20" w:rsidP="0099770F">
            <w:pPr>
              <w:rPr>
                <w:color w:val="000000"/>
              </w:rPr>
            </w:pPr>
            <w:r w:rsidRPr="00CB425F">
              <w:rPr>
                <w:color w:val="000000"/>
              </w:rPr>
              <w:t>Acquisitions</w:t>
            </w:r>
          </w:p>
        </w:tc>
        <w:tc>
          <w:tcPr>
            <w:tcW w:w="1056" w:type="dxa"/>
            <w:tcBorders>
              <w:top w:val="nil"/>
              <w:left w:val="nil"/>
              <w:bottom w:val="nil"/>
              <w:right w:val="nil"/>
            </w:tcBorders>
            <w:shd w:val="clear" w:color="auto" w:fill="auto"/>
            <w:noWrap/>
            <w:vAlign w:val="bottom"/>
          </w:tcPr>
          <w:p w14:paraId="67EEE845" w14:textId="77777777" w:rsidR="00F70E20" w:rsidRPr="00CB425F" w:rsidRDefault="00F70E20" w:rsidP="0099770F">
            <w:pPr>
              <w:jc w:val="center"/>
              <w:rPr>
                <w:color w:val="000000"/>
              </w:rPr>
            </w:pPr>
            <w:r w:rsidRPr="00CB425F">
              <w:rPr>
                <w:color w:val="000000"/>
              </w:rPr>
              <w:t>0.0364</w:t>
            </w:r>
          </w:p>
        </w:tc>
        <w:tc>
          <w:tcPr>
            <w:tcW w:w="1056" w:type="dxa"/>
            <w:tcBorders>
              <w:top w:val="nil"/>
              <w:left w:val="nil"/>
              <w:bottom w:val="nil"/>
              <w:right w:val="nil"/>
            </w:tcBorders>
            <w:shd w:val="clear" w:color="auto" w:fill="auto"/>
            <w:noWrap/>
            <w:vAlign w:val="bottom"/>
          </w:tcPr>
          <w:p w14:paraId="53518B43" w14:textId="77777777" w:rsidR="00F70E20" w:rsidRPr="00CB425F" w:rsidRDefault="00F70E20" w:rsidP="0099770F">
            <w:pPr>
              <w:jc w:val="center"/>
              <w:rPr>
                <w:color w:val="000000"/>
              </w:rPr>
            </w:pPr>
            <w:r w:rsidRPr="00CB425F">
              <w:rPr>
                <w:color w:val="000000"/>
              </w:rPr>
              <w:t>0.0306</w:t>
            </w:r>
          </w:p>
        </w:tc>
        <w:tc>
          <w:tcPr>
            <w:tcW w:w="1056" w:type="dxa"/>
            <w:tcBorders>
              <w:top w:val="nil"/>
              <w:left w:val="nil"/>
              <w:bottom w:val="nil"/>
              <w:right w:val="nil"/>
            </w:tcBorders>
            <w:shd w:val="clear" w:color="auto" w:fill="auto"/>
            <w:noWrap/>
            <w:vAlign w:val="bottom"/>
          </w:tcPr>
          <w:p w14:paraId="7A586E44" w14:textId="77777777" w:rsidR="00F70E20" w:rsidRPr="00CB425F" w:rsidRDefault="00F70E20" w:rsidP="0099770F">
            <w:pPr>
              <w:jc w:val="center"/>
              <w:rPr>
                <w:color w:val="000000"/>
              </w:rPr>
            </w:pPr>
            <w:r w:rsidRPr="00CB425F">
              <w:rPr>
                <w:color w:val="000000"/>
              </w:rPr>
              <w:t>0.0417</w:t>
            </w:r>
          </w:p>
        </w:tc>
        <w:tc>
          <w:tcPr>
            <w:tcW w:w="1056" w:type="dxa"/>
            <w:tcBorders>
              <w:top w:val="nil"/>
              <w:left w:val="nil"/>
              <w:bottom w:val="nil"/>
              <w:right w:val="nil"/>
            </w:tcBorders>
            <w:shd w:val="clear" w:color="auto" w:fill="auto"/>
            <w:noWrap/>
            <w:vAlign w:val="bottom"/>
          </w:tcPr>
          <w:p w14:paraId="2D8B1A3E" w14:textId="77777777" w:rsidR="00F70E20" w:rsidRPr="00CB425F" w:rsidRDefault="00F70E20" w:rsidP="0099770F">
            <w:pPr>
              <w:jc w:val="center"/>
              <w:rPr>
                <w:color w:val="000000"/>
              </w:rPr>
            </w:pPr>
            <w:r w:rsidRPr="00CB425F">
              <w:rPr>
                <w:color w:val="000000"/>
              </w:rPr>
              <w:t>0.0349</w:t>
            </w:r>
          </w:p>
        </w:tc>
        <w:tc>
          <w:tcPr>
            <w:tcW w:w="1056" w:type="dxa"/>
            <w:tcBorders>
              <w:top w:val="nil"/>
              <w:left w:val="nil"/>
              <w:bottom w:val="nil"/>
              <w:right w:val="nil"/>
            </w:tcBorders>
            <w:shd w:val="clear" w:color="auto" w:fill="auto"/>
            <w:noWrap/>
            <w:vAlign w:val="bottom"/>
          </w:tcPr>
          <w:p w14:paraId="4C7A99F5" w14:textId="77777777" w:rsidR="00F70E20" w:rsidRPr="00CB425F" w:rsidRDefault="00F70E20" w:rsidP="0099770F">
            <w:pPr>
              <w:jc w:val="center"/>
              <w:rPr>
                <w:color w:val="000000"/>
              </w:rPr>
            </w:pPr>
            <w:r w:rsidRPr="00CB425F">
              <w:rPr>
                <w:color w:val="000000"/>
              </w:rPr>
              <w:t>0.161</w:t>
            </w:r>
          </w:p>
        </w:tc>
      </w:tr>
      <w:tr w:rsidR="00F70E20" w:rsidRPr="00A65CFF" w14:paraId="4F32DFA4" w14:textId="77777777" w:rsidTr="00F70E20">
        <w:trPr>
          <w:trHeight w:val="290"/>
        </w:trPr>
        <w:tc>
          <w:tcPr>
            <w:tcW w:w="2410" w:type="dxa"/>
            <w:vMerge/>
            <w:tcBorders>
              <w:left w:val="nil"/>
              <w:bottom w:val="nil"/>
              <w:right w:val="nil"/>
            </w:tcBorders>
            <w:shd w:val="clear" w:color="auto" w:fill="auto"/>
            <w:noWrap/>
            <w:vAlign w:val="center"/>
            <w:hideMark/>
          </w:tcPr>
          <w:p w14:paraId="10AE1FA6" w14:textId="77777777" w:rsidR="00F70E20" w:rsidRPr="00CB425F" w:rsidRDefault="00F70E20" w:rsidP="0099770F">
            <w:pPr>
              <w:rPr>
                <w:color w:val="000000"/>
              </w:rPr>
            </w:pPr>
          </w:p>
        </w:tc>
        <w:tc>
          <w:tcPr>
            <w:tcW w:w="1056" w:type="dxa"/>
            <w:tcBorders>
              <w:top w:val="nil"/>
              <w:left w:val="nil"/>
              <w:bottom w:val="nil"/>
              <w:right w:val="nil"/>
            </w:tcBorders>
            <w:shd w:val="clear" w:color="auto" w:fill="auto"/>
            <w:noWrap/>
            <w:vAlign w:val="bottom"/>
          </w:tcPr>
          <w:p w14:paraId="0300DD27" w14:textId="77777777" w:rsidR="00F70E20" w:rsidRPr="00CB425F" w:rsidRDefault="00F70E20" w:rsidP="0099770F">
            <w:pPr>
              <w:jc w:val="center"/>
              <w:rPr>
                <w:color w:val="000000"/>
              </w:rPr>
            </w:pPr>
            <w:r w:rsidRPr="00CB425F">
              <w:rPr>
                <w:color w:val="000000"/>
              </w:rPr>
              <w:t>(0.288)</w:t>
            </w:r>
          </w:p>
        </w:tc>
        <w:tc>
          <w:tcPr>
            <w:tcW w:w="1056" w:type="dxa"/>
            <w:tcBorders>
              <w:top w:val="nil"/>
              <w:left w:val="nil"/>
              <w:bottom w:val="nil"/>
              <w:right w:val="nil"/>
            </w:tcBorders>
            <w:shd w:val="clear" w:color="auto" w:fill="auto"/>
            <w:noWrap/>
            <w:vAlign w:val="bottom"/>
          </w:tcPr>
          <w:p w14:paraId="5330DD56" w14:textId="77777777" w:rsidR="00F70E20" w:rsidRPr="00CB425F" w:rsidRDefault="00F70E20" w:rsidP="0099770F">
            <w:pPr>
              <w:jc w:val="center"/>
              <w:rPr>
                <w:color w:val="000000"/>
              </w:rPr>
            </w:pPr>
            <w:r w:rsidRPr="00CB425F">
              <w:rPr>
                <w:color w:val="000000"/>
              </w:rPr>
              <w:t>(0.365)</w:t>
            </w:r>
          </w:p>
        </w:tc>
        <w:tc>
          <w:tcPr>
            <w:tcW w:w="1056" w:type="dxa"/>
            <w:tcBorders>
              <w:top w:val="nil"/>
              <w:left w:val="nil"/>
              <w:bottom w:val="nil"/>
              <w:right w:val="nil"/>
            </w:tcBorders>
            <w:shd w:val="clear" w:color="auto" w:fill="auto"/>
            <w:noWrap/>
            <w:vAlign w:val="bottom"/>
          </w:tcPr>
          <w:p w14:paraId="14A8009E" w14:textId="77777777" w:rsidR="00F70E20" w:rsidRPr="00CB425F" w:rsidRDefault="00F70E20" w:rsidP="0099770F">
            <w:pPr>
              <w:jc w:val="center"/>
              <w:rPr>
                <w:color w:val="000000"/>
              </w:rPr>
            </w:pPr>
            <w:r w:rsidRPr="00CB425F">
              <w:rPr>
                <w:color w:val="000000"/>
              </w:rPr>
              <w:t>(0.221)</w:t>
            </w:r>
          </w:p>
        </w:tc>
        <w:tc>
          <w:tcPr>
            <w:tcW w:w="1056" w:type="dxa"/>
            <w:tcBorders>
              <w:top w:val="nil"/>
              <w:left w:val="nil"/>
              <w:bottom w:val="nil"/>
              <w:right w:val="nil"/>
            </w:tcBorders>
            <w:shd w:val="clear" w:color="auto" w:fill="auto"/>
            <w:noWrap/>
            <w:vAlign w:val="bottom"/>
          </w:tcPr>
          <w:p w14:paraId="0C2C65BF" w14:textId="77777777" w:rsidR="00F70E20" w:rsidRPr="00CB425F" w:rsidRDefault="00F70E20" w:rsidP="0099770F">
            <w:pPr>
              <w:jc w:val="center"/>
              <w:rPr>
                <w:color w:val="000000"/>
              </w:rPr>
            </w:pPr>
            <w:r w:rsidRPr="00CB425F">
              <w:rPr>
                <w:color w:val="000000"/>
              </w:rPr>
              <w:t>(0.296)</w:t>
            </w:r>
          </w:p>
        </w:tc>
        <w:tc>
          <w:tcPr>
            <w:tcW w:w="1056" w:type="dxa"/>
            <w:tcBorders>
              <w:top w:val="nil"/>
              <w:left w:val="nil"/>
              <w:bottom w:val="nil"/>
              <w:right w:val="nil"/>
            </w:tcBorders>
            <w:shd w:val="clear" w:color="auto" w:fill="auto"/>
            <w:noWrap/>
            <w:vAlign w:val="bottom"/>
          </w:tcPr>
          <w:p w14:paraId="1E481AA5" w14:textId="77777777" w:rsidR="00F70E20" w:rsidRPr="00CB425F" w:rsidRDefault="00F70E20" w:rsidP="0099770F">
            <w:pPr>
              <w:jc w:val="center"/>
              <w:rPr>
                <w:color w:val="000000"/>
              </w:rPr>
            </w:pPr>
            <w:r w:rsidRPr="00CB425F">
              <w:rPr>
                <w:color w:val="000000"/>
              </w:rPr>
              <w:t>(0.103)</w:t>
            </w:r>
          </w:p>
        </w:tc>
      </w:tr>
      <w:tr w:rsidR="00F70E20" w:rsidRPr="00A65CFF" w14:paraId="45C06CD3" w14:textId="77777777" w:rsidTr="00F70E20">
        <w:trPr>
          <w:trHeight w:val="290"/>
        </w:trPr>
        <w:tc>
          <w:tcPr>
            <w:tcW w:w="2410" w:type="dxa"/>
            <w:tcBorders>
              <w:top w:val="nil"/>
              <w:left w:val="nil"/>
              <w:bottom w:val="nil"/>
              <w:right w:val="nil"/>
            </w:tcBorders>
            <w:shd w:val="clear" w:color="auto" w:fill="auto"/>
            <w:noWrap/>
            <w:vAlign w:val="center"/>
          </w:tcPr>
          <w:p w14:paraId="6DBA7D27" w14:textId="77777777" w:rsidR="00F70E20" w:rsidRPr="00CB425F" w:rsidRDefault="00F70E20" w:rsidP="0099770F">
            <w:pPr>
              <w:rPr>
                <w:color w:val="000000"/>
              </w:rPr>
            </w:pPr>
            <w:r w:rsidRPr="00CB425F">
              <w:rPr>
                <w:color w:val="000000"/>
              </w:rPr>
              <w:t>Industry</w:t>
            </w:r>
          </w:p>
        </w:tc>
        <w:tc>
          <w:tcPr>
            <w:tcW w:w="1056" w:type="dxa"/>
            <w:tcBorders>
              <w:top w:val="nil"/>
              <w:left w:val="nil"/>
              <w:bottom w:val="nil"/>
              <w:right w:val="nil"/>
            </w:tcBorders>
            <w:shd w:val="clear" w:color="auto" w:fill="auto"/>
            <w:noWrap/>
            <w:vAlign w:val="center"/>
          </w:tcPr>
          <w:p w14:paraId="2660348F" w14:textId="77777777" w:rsidR="00F70E20" w:rsidRPr="00CB425F" w:rsidRDefault="00F70E20" w:rsidP="0099770F">
            <w:pPr>
              <w:jc w:val="center"/>
              <w:rPr>
                <w:color w:val="000000"/>
              </w:rPr>
            </w:pPr>
          </w:p>
        </w:tc>
        <w:tc>
          <w:tcPr>
            <w:tcW w:w="1056" w:type="dxa"/>
            <w:tcBorders>
              <w:top w:val="nil"/>
              <w:left w:val="nil"/>
              <w:bottom w:val="nil"/>
              <w:right w:val="nil"/>
            </w:tcBorders>
            <w:shd w:val="clear" w:color="auto" w:fill="auto"/>
            <w:noWrap/>
            <w:vAlign w:val="center"/>
          </w:tcPr>
          <w:p w14:paraId="53CD214C" w14:textId="77777777" w:rsidR="00F70E20" w:rsidRPr="00CB425F" w:rsidRDefault="00F70E20" w:rsidP="0099770F">
            <w:pPr>
              <w:jc w:val="center"/>
              <w:rPr>
                <w:color w:val="000000"/>
              </w:rPr>
            </w:pPr>
          </w:p>
        </w:tc>
        <w:tc>
          <w:tcPr>
            <w:tcW w:w="1056" w:type="dxa"/>
            <w:tcBorders>
              <w:top w:val="nil"/>
              <w:left w:val="nil"/>
              <w:bottom w:val="nil"/>
              <w:right w:val="nil"/>
            </w:tcBorders>
            <w:shd w:val="clear" w:color="auto" w:fill="auto"/>
            <w:noWrap/>
            <w:vAlign w:val="center"/>
          </w:tcPr>
          <w:p w14:paraId="7F834828" w14:textId="77777777" w:rsidR="00F70E20" w:rsidRPr="00CB425F" w:rsidRDefault="00F70E20" w:rsidP="0099770F">
            <w:pPr>
              <w:jc w:val="center"/>
              <w:rPr>
                <w:color w:val="000000"/>
              </w:rPr>
            </w:pPr>
          </w:p>
        </w:tc>
        <w:tc>
          <w:tcPr>
            <w:tcW w:w="1056" w:type="dxa"/>
            <w:tcBorders>
              <w:top w:val="nil"/>
              <w:left w:val="nil"/>
              <w:bottom w:val="nil"/>
              <w:right w:val="nil"/>
            </w:tcBorders>
            <w:shd w:val="clear" w:color="auto" w:fill="auto"/>
            <w:noWrap/>
            <w:vAlign w:val="center"/>
          </w:tcPr>
          <w:p w14:paraId="6A7427C8" w14:textId="77777777" w:rsidR="00F70E20" w:rsidRPr="00CB425F" w:rsidRDefault="00F70E20" w:rsidP="0099770F">
            <w:pPr>
              <w:jc w:val="center"/>
              <w:rPr>
                <w:color w:val="000000"/>
              </w:rPr>
            </w:pPr>
          </w:p>
        </w:tc>
        <w:tc>
          <w:tcPr>
            <w:tcW w:w="1056" w:type="dxa"/>
            <w:tcBorders>
              <w:top w:val="nil"/>
              <w:left w:val="nil"/>
              <w:bottom w:val="nil"/>
              <w:right w:val="nil"/>
            </w:tcBorders>
            <w:shd w:val="clear" w:color="auto" w:fill="auto"/>
            <w:noWrap/>
            <w:vAlign w:val="center"/>
          </w:tcPr>
          <w:p w14:paraId="05270A3D" w14:textId="77777777" w:rsidR="00F70E20" w:rsidRPr="00CB425F" w:rsidRDefault="00F70E20" w:rsidP="0099770F">
            <w:pPr>
              <w:jc w:val="center"/>
              <w:rPr>
                <w:color w:val="000000"/>
              </w:rPr>
            </w:pPr>
          </w:p>
        </w:tc>
      </w:tr>
      <w:tr w:rsidR="00F70E20" w:rsidRPr="00A65CFF" w14:paraId="35CF212D" w14:textId="77777777" w:rsidTr="00F70E20">
        <w:trPr>
          <w:trHeight w:val="290"/>
        </w:trPr>
        <w:tc>
          <w:tcPr>
            <w:tcW w:w="2410" w:type="dxa"/>
            <w:vMerge w:val="restart"/>
            <w:tcBorders>
              <w:top w:val="nil"/>
              <w:left w:val="nil"/>
              <w:right w:val="nil"/>
            </w:tcBorders>
            <w:shd w:val="clear" w:color="auto" w:fill="auto"/>
            <w:noWrap/>
            <w:vAlign w:val="center"/>
            <w:hideMark/>
          </w:tcPr>
          <w:p w14:paraId="021BAA01" w14:textId="77777777" w:rsidR="00F70E20" w:rsidRPr="00CB425F" w:rsidRDefault="00F70E20" w:rsidP="0099770F">
            <w:pPr>
              <w:jc w:val="right"/>
              <w:rPr>
                <w:i/>
                <w:iCs/>
                <w:color w:val="000000"/>
              </w:rPr>
            </w:pPr>
            <w:r w:rsidRPr="00CB425F">
              <w:rPr>
                <w:i/>
                <w:iCs/>
                <w:color w:val="000000"/>
              </w:rPr>
              <w:t>Application software</w:t>
            </w:r>
          </w:p>
        </w:tc>
        <w:tc>
          <w:tcPr>
            <w:tcW w:w="1056" w:type="dxa"/>
            <w:tcBorders>
              <w:top w:val="nil"/>
              <w:left w:val="nil"/>
              <w:bottom w:val="nil"/>
              <w:right w:val="nil"/>
            </w:tcBorders>
            <w:shd w:val="clear" w:color="auto" w:fill="auto"/>
            <w:noWrap/>
            <w:vAlign w:val="bottom"/>
          </w:tcPr>
          <w:p w14:paraId="7A55A98C" w14:textId="77777777" w:rsidR="00F70E20" w:rsidRPr="00CB425F" w:rsidRDefault="00F70E20" w:rsidP="0099770F">
            <w:pPr>
              <w:jc w:val="center"/>
              <w:rPr>
                <w:color w:val="000000"/>
              </w:rPr>
            </w:pPr>
            <w:r w:rsidRPr="00CB425F">
              <w:rPr>
                <w:color w:val="000000"/>
              </w:rPr>
              <w:t>0.270</w:t>
            </w:r>
          </w:p>
        </w:tc>
        <w:tc>
          <w:tcPr>
            <w:tcW w:w="1056" w:type="dxa"/>
            <w:tcBorders>
              <w:top w:val="nil"/>
              <w:left w:val="nil"/>
              <w:bottom w:val="nil"/>
              <w:right w:val="nil"/>
            </w:tcBorders>
            <w:shd w:val="clear" w:color="auto" w:fill="auto"/>
            <w:noWrap/>
            <w:vAlign w:val="bottom"/>
          </w:tcPr>
          <w:p w14:paraId="4356611D" w14:textId="77777777" w:rsidR="00F70E20" w:rsidRPr="00CB425F" w:rsidRDefault="00F70E20" w:rsidP="0099770F">
            <w:pPr>
              <w:jc w:val="center"/>
              <w:rPr>
                <w:color w:val="000000"/>
              </w:rPr>
            </w:pPr>
            <w:r w:rsidRPr="00CB425F">
              <w:rPr>
                <w:color w:val="000000"/>
              </w:rPr>
              <w:t>0.240</w:t>
            </w:r>
          </w:p>
        </w:tc>
        <w:tc>
          <w:tcPr>
            <w:tcW w:w="1056" w:type="dxa"/>
            <w:tcBorders>
              <w:top w:val="nil"/>
              <w:left w:val="nil"/>
              <w:bottom w:val="nil"/>
              <w:right w:val="nil"/>
            </w:tcBorders>
            <w:shd w:val="clear" w:color="auto" w:fill="auto"/>
            <w:noWrap/>
            <w:vAlign w:val="bottom"/>
          </w:tcPr>
          <w:p w14:paraId="63D86CAD" w14:textId="77777777" w:rsidR="00F70E20" w:rsidRPr="00CB425F" w:rsidRDefault="00F70E20" w:rsidP="0099770F">
            <w:pPr>
              <w:jc w:val="center"/>
              <w:rPr>
                <w:color w:val="000000"/>
              </w:rPr>
            </w:pPr>
            <w:r w:rsidRPr="00CB425F">
              <w:rPr>
                <w:color w:val="000000"/>
              </w:rPr>
              <w:t>0.243</w:t>
            </w:r>
          </w:p>
        </w:tc>
        <w:tc>
          <w:tcPr>
            <w:tcW w:w="1056" w:type="dxa"/>
            <w:tcBorders>
              <w:top w:val="nil"/>
              <w:left w:val="nil"/>
              <w:bottom w:val="nil"/>
              <w:right w:val="nil"/>
            </w:tcBorders>
            <w:shd w:val="clear" w:color="auto" w:fill="auto"/>
            <w:noWrap/>
            <w:vAlign w:val="bottom"/>
          </w:tcPr>
          <w:p w14:paraId="00CE0C35" w14:textId="77777777" w:rsidR="00F70E20" w:rsidRPr="00CB425F" w:rsidRDefault="00F70E20" w:rsidP="0099770F">
            <w:pPr>
              <w:jc w:val="center"/>
              <w:rPr>
                <w:color w:val="000000"/>
              </w:rPr>
            </w:pPr>
            <w:r w:rsidRPr="00CB425F">
              <w:rPr>
                <w:color w:val="000000"/>
              </w:rPr>
              <w:t>0.203</w:t>
            </w:r>
          </w:p>
        </w:tc>
        <w:tc>
          <w:tcPr>
            <w:tcW w:w="1056" w:type="dxa"/>
            <w:tcBorders>
              <w:top w:val="nil"/>
              <w:left w:val="nil"/>
              <w:bottom w:val="nil"/>
              <w:right w:val="nil"/>
            </w:tcBorders>
            <w:shd w:val="clear" w:color="auto" w:fill="auto"/>
            <w:noWrap/>
            <w:vAlign w:val="bottom"/>
          </w:tcPr>
          <w:p w14:paraId="7BB6FB2E" w14:textId="77777777" w:rsidR="00F70E20" w:rsidRPr="00CB425F" w:rsidRDefault="00F70E20" w:rsidP="0099770F">
            <w:pPr>
              <w:jc w:val="center"/>
              <w:rPr>
                <w:color w:val="000000"/>
              </w:rPr>
            </w:pPr>
            <w:r w:rsidRPr="00CB425F">
              <w:rPr>
                <w:color w:val="000000"/>
              </w:rPr>
              <w:t>0.175</w:t>
            </w:r>
          </w:p>
        </w:tc>
      </w:tr>
      <w:tr w:rsidR="00F70E20" w:rsidRPr="00A65CFF" w14:paraId="0A642CC8" w14:textId="77777777" w:rsidTr="00F70E20">
        <w:trPr>
          <w:trHeight w:val="290"/>
        </w:trPr>
        <w:tc>
          <w:tcPr>
            <w:tcW w:w="2410" w:type="dxa"/>
            <w:vMerge/>
            <w:tcBorders>
              <w:left w:val="nil"/>
              <w:bottom w:val="nil"/>
              <w:right w:val="nil"/>
            </w:tcBorders>
            <w:shd w:val="clear" w:color="auto" w:fill="auto"/>
            <w:noWrap/>
            <w:vAlign w:val="center"/>
            <w:hideMark/>
          </w:tcPr>
          <w:p w14:paraId="66389E53" w14:textId="77777777" w:rsidR="00F70E20" w:rsidRPr="00CB425F" w:rsidRDefault="00F70E20" w:rsidP="0099770F">
            <w:pPr>
              <w:jc w:val="right"/>
              <w:rPr>
                <w:i/>
                <w:iCs/>
                <w:color w:val="000000"/>
              </w:rPr>
            </w:pPr>
          </w:p>
        </w:tc>
        <w:tc>
          <w:tcPr>
            <w:tcW w:w="1056" w:type="dxa"/>
            <w:tcBorders>
              <w:top w:val="nil"/>
              <w:left w:val="nil"/>
              <w:bottom w:val="nil"/>
              <w:right w:val="nil"/>
            </w:tcBorders>
            <w:shd w:val="clear" w:color="auto" w:fill="auto"/>
            <w:noWrap/>
            <w:vAlign w:val="bottom"/>
          </w:tcPr>
          <w:p w14:paraId="251ED455" w14:textId="77777777" w:rsidR="00F70E20" w:rsidRPr="00CB425F" w:rsidRDefault="00F70E20" w:rsidP="0099770F">
            <w:pPr>
              <w:jc w:val="center"/>
              <w:rPr>
                <w:color w:val="000000"/>
              </w:rPr>
            </w:pPr>
            <w:r w:rsidRPr="00CB425F">
              <w:rPr>
                <w:color w:val="000000"/>
              </w:rPr>
              <w:t>(0.000)</w:t>
            </w:r>
          </w:p>
        </w:tc>
        <w:tc>
          <w:tcPr>
            <w:tcW w:w="1056" w:type="dxa"/>
            <w:tcBorders>
              <w:top w:val="nil"/>
              <w:left w:val="nil"/>
              <w:bottom w:val="nil"/>
              <w:right w:val="nil"/>
            </w:tcBorders>
            <w:shd w:val="clear" w:color="auto" w:fill="auto"/>
            <w:noWrap/>
            <w:vAlign w:val="bottom"/>
          </w:tcPr>
          <w:p w14:paraId="2AC49639" w14:textId="77777777" w:rsidR="00F70E20" w:rsidRPr="00CB425F" w:rsidRDefault="00F70E20" w:rsidP="0099770F">
            <w:pPr>
              <w:jc w:val="center"/>
              <w:rPr>
                <w:color w:val="000000"/>
              </w:rPr>
            </w:pPr>
            <w:r w:rsidRPr="00CB425F">
              <w:rPr>
                <w:color w:val="000000"/>
              </w:rPr>
              <w:t>(0.000)</w:t>
            </w:r>
          </w:p>
        </w:tc>
        <w:tc>
          <w:tcPr>
            <w:tcW w:w="1056" w:type="dxa"/>
            <w:tcBorders>
              <w:top w:val="nil"/>
              <w:left w:val="nil"/>
              <w:bottom w:val="nil"/>
              <w:right w:val="nil"/>
            </w:tcBorders>
            <w:shd w:val="clear" w:color="auto" w:fill="auto"/>
            <w:noWrap/>
            <w:vAlign w:val="bottom"/>
          </w:tcPr>
          <w:p w14:paraId="52C3DE46" w14:textId="77777777" w:rsidR="00F70E20" w:rsidRPr="00CB425F" w:rsidRDefault="00F70E20" w:rsidP="0099770F">
            <w:pPr>
              <w:jc w:val="center"/>
              <w:rPr>
                <w:color w:val="000000"/>
              </w:rPr>
            </w:pPr>
            <w:r w:rsidRPr="00CB425F">
              <w:rPr>
                <w:color w:val="000000"/>
              </w:rPr>
              <w:t>(0.000)</w:t>
            </w:r>
          </w:p>
        </w:tc>
        <w:tc>
          <w:tcPr>
            <w:tcW w:w="1056" w:type="dxa"/>
            <w:tcBorders>
              <w:top w:val="nil"/>
              <w:left w:val="nil"/>
              <w:bottom w:val="nil"/>
              <w:right w:val="nil"/>
            </w:tcBorders>
            <w:shd w:val="clear" w:color="auto" w:fill="auto"/>
            <w:noWrap/>
            <w:vAlign w:val="bottom"/>
          </w:tcPr>
          <w:p w14:paraId="3F330DE7" w14:textId="77777777" w:rsidR="00F70E20" w:rsidRPr="00CB425F" w:rsidRDefault="00F70E20" w:rsidP="0099770F">
            <w:pPr>
              <w:jc w:val="center"/>
              <w:rPr>
                <w:color w:val="000000"/>
              </w:rPr>
            </w:pPr>
            <w:r w:rsidRPr="00CB425F">
              <w:rPr>
                <w:color w:val="000000"/>
              </w:rPr>
              <w:t>(0.000)</w:t>
            </w:r>
          </w:p>
        </w:tc>
        <w:tc>
          <w:tcPr>
            <w:tcW w:w="1056" w:type="dxa"/>
            <w:tcBorders>
              <w:top w:val="nil"/>
              <w:left w:val="nil"/>
              <w:bottom w:val="nil"/>
              <w:right w:val="nil"/>
            </w:tcBorders>
            <w:shd w:val="clear" w:color="auto" w:fill="auto"/>
            <w:noWrap/>
            <w:vAlign w:val="bottom"/>
          </w:tcPr>
          <w:p w14:paraId="24A93508" w14:textId="77777777" w:rsidR="00F70E20" w:rsidRPr="00CB425F" w:rsidRDefault="00F70E20" w:rsidP="0099770F">
            <w:pPr>
              <w:jc w:val="center"/>
              <w:rPr>
                <w:color w:val="000000"/>
              </w:rPr>
            </w:pPr>
            <w:r w:rsidRPr="00CB425F">
              <w:rPr>
                <w:color w:val="000000"/>
              </w:rPr>
              <w:t>(0.000)</w:t>
            </w:r>
          </w:p>
        </w:tc>
      </w:tr>
      <w:tr w:rsidR="00F70E20" w:rsidRPr="00A65CFF" w14:paraId="1BB748E9" w14:textId="77777777" w:rsidTr="00F70E20">
        <w:trPr>
          <w:trHeight w:val="290"/>
        </w:trPr>
        <w:tc>
          <w:tcPr>
            <w:tcW w:w="2410" w:type="dxa"/>
            <w:vMerge w:val="restart"/>
            <w:tcBorders>
              <w:top w:val="nil"/>
              <w:left w:val="nil"/>
              <w:right w:val="nil"/>
            </w:tcBorders>
            <w:shd w:val="clear" w:color="auto" w:fill="auto"/>
            <w:noWrap/>
            <w:vAlign w:val="center"/>
            <w:hideMark/>
          </w:tcPr>
          <w:p w14:paraId="4016A2F6" w14:textId="77777777" w:rsidR="00F70E20" w:rsidRPr="00CB425F" w:rsidRDefault="00F70E20" w:rsidP="0099770F">
            <w:pPr>
              <w:jc w:val="right"/>
              <w:rPr>
                <w:i/>
                <w:iCs/>
                <w:color w:val="000000"/>
              </w:rPr>
            </w:pPr>
            <w:r w:rsidRPr="00CB425F">
              <w:rPr>
                <w:i/>
                <w:iCs/>
                <w:color w:val="000000"/>
              </w:rPr>
              <w:t>Interactive media &amp; services</w:t>
            </w:r>
          </w:p>
        </w:tc>
        <w:tc>
          <w:tcPr>
            <w:tcW w:w="1056" w:type="dxa"/>
            <w:tcBorders>
              <w:top w:val="nil"/>
              <w:left w:val="nil"/>
              <w:bottom w:val="nil"/>
              <w:right w:val="nil"/>
            </w:tcBorders>
            <w:shd w:val="clear" w:color="auto" w:fill="auto"/>
            <w:noWrap/>
            <w:vAlign w:val="bottom"/>
          </w:tcPr>
          <w:p w14:paraId="3F769AF2" w14:textId="77777777" w:rsidR="00F70E20" w:rsidRPr="00CB425F" w:rsidRDefault="00F70E20" w:rsidP="0099770F">
            <w:pPr>
              <w:jc w:val="center"/>
              <w:rPr>
                <w:color w:val="000000"/>
              </w:rPr>
            </w:pPr>
            <w:r w:rsidRPr="00CB425F">
              <w:rPr>
                <w:color w:val="000000"/>
              </w:rPr>
              <w:t>0.0661</w:t>
            </w:r>
          </w:p>
        </w:tc>
        <w:tc>
          <w:tcPr>
            <w:tcW w:w="1056" w:type="dxa"/>
            <w:tcBorders>
              <w:top w:val="nil"/>
              <w:left w:val="nil"/>
              <w:bottom w:val="nil"/>
              <w:right w:val="nil"/>
            </w:tcBorders>
            <w:shd w:val="clear" w:color="auto" w:fill="auto"/>
            <w:noWrap/>
            <w:vAlign w:val="bottom"/>
          </w:tcPr>
          <w:p w14:paraId="44231F1D" w14:textId="77777777" w:rsidR="00F70E20" w:rsidRPr="00CB425F" w:rsidRDefault="00F70E20" w:rsidP="0099770F">
            <w:pPr>
              <w:jc w:val="center"/>
              <w:rPr>
                <w:color w:val="000000"/>
              </w:rPr>
            </w:pPr>
            <w:r w:rsidRPr="00CB425F">
              <w:rPr>
                <w:color w:val="000000"/>
              </w:rPr>
              <w:t>0.0290</w:t>
            </w:r>
          </w:p>
        </w:tc>
        <w:tc>
          <w:tcPr>
            <w:tcW w:w="1056" w:type="dxa"/>
            <w:tcBorders>
              <w:top w:val="nil"/>
              <w:left w:val="nil"/>
              <w:bottom w:val="nil"/>
              <w:right w:val="nil"/>
            </w:tcBorders>
            <w:shd w:val="clear" w:color="auto" w:fill="auto"/>
            <w:noWrap/>
            <w:vAlign w:val="bottom"/>
          </w:tcPr>
          <w:p w14:paraId="126D7647" w14:textId="77777777" w:rsidR="00F70E20" w:rsidRPr="00CB425F" w:rsidRDefault="00F70E20" w:rsidP="0099770F">
            <w:pPr>
              <w:jc w:val="center"/>
              <w:rPr>
                <w:color w:val="000000"/>
              </w:rPr>
            </w:pPr>
            <w:r w:rsidRPr="00CB425F">
              <w:rPr>
                <w:color w:val="000000"/>
              </w:rPr>
              <w:t>0.147</w:t>
            </w:r>
          </w:p>
        </w:tc>
        <w:tc>
          <w:tcPr>
            <w:tcW w:w="1056" w:type="dxa"/>
            <w:tcBorders>
              <w:top w:val="nil"/>
              <w:left w:val="nil"/>
              <w:bottom w:val="nil"/>
              <w:right w:val="nil"/>
            </w:tcBorders>
            <w:shd w:val="clear" w:color="auto" w:fill="auto"/>
            <w:noWrap/>
            <w:vAlign w:val="bottom"/>
          </w:tcPr>
          <w:p w14:paraId="0C5F3400" w14:textId="77777777" w:rsidR="00F70E20" w:rsidRPr="00CB425F" w:rsidRDefault="00F70E20" w:rsidP="0099770F">
            <w:pPr>
              <w:jc w:val="center"/>
              <w:rPr>
                <w:color w:val="000000"/>
              </w:rPr>
            </w:pPr>
            <w:r w:rsidRPr="00CB425F">
              <w:rPr>
                <w:color w:val="000000"/>
              </w:rPr>
              <w:t>0.109</w:t>
            </w:r>
          </w:p>
        </w:tc>
        <w:tc>
          <w:tcPr>
            <w:tcW w:w="1056" w:type="dxa"/>
            <w:tcBorders>
              <w:top w:val="nil"/>
              <w:left w:val="nil"/>
              <w:bottom w:val="nil"/>
              <w:right w:val="nil"/>
            </w:tcBorders>
            <w:shd w:val="clear" w:color="auto" w:fill="auto"/>
            <w:noWrap/>
            <w:vAlign w:val="bottom"/>
          </w:tcPr>
          <w:p w14:paraId="3B5A8BF0" w14:textId="77777777" w:rsidR="00F70E20" w:rsidRPr="00CB425F" w:rsidRDefault="00F70E20" w:rsidP="0099770F">
            <w:pPr>
              <w:jc w:val="center"/>
              <w:rPr>
                <w:color w:val="000000"/>
              </w:rPr>
            </w:pPr>
            <w:r w:rsidRPr="00CB425F">
              <w:rPr>
                <w:color w:val="000000"/>
              </w:rPr>
              <w:t>0.0565</w:t>
            </w:r>
          </w:p>
        </w:tc>
      </w:tr>
      <w:tr w:rsidR="00F70E20" w:rsidRPr="00A65CFF" w14:paraId="795ABB6F" w14:textId="77777777" w:rsidTr="00F70E20">
        <w:trPr>
          <w:trHeight w:val="290"/>
        </w:trPr>
        <w:tc>
          <w:tcPr>
            <w:tcW w:w="2410" w:type="dxa"/>
            <w:vMerge/>
            <w:tcBorders>
              <w:left w:val="nil"/>
              <w:bottom w:val="nil"/>
              <w:right w:val="nil"/>
            </w:tcBorders>
            <w:shd w:val="clear" w:color="auto" w:fill="auto"/>
            <w:noWrap/>
            <w:vAlign w:val="center"/>
            <w:hideMark/>
          </w:tcPr>
          <w:p w14:paraId="6174DA80" w14:textId="77777777" w:rsidR="00F70E20" w:rsidRPr="00CB425F" w:rsidRDefault="00F70E20" w:rsidP="0099770F">
            <w:pPr>
              <w:jc w:val="right"/>
              <w:rPr>
                <w:i/>
                <w:iCs/>
                <w:color w:val="000000"/>
              </w:rPr>
            </w:pPr>
          </w:p>
        </w:tc>
        <w:tc>
          <w:tcPr>
            <w:tcW w:w="1056" w:type="dxa"/>
            <w:tcBorders>
              <w:top w:val="nil"/>
              <w:left w:val="nil"/>
              <w:bottom w:val="nil"/>
              <w:right w:val="nil"/>
            </w:tcBorders>
            <w:shd w:val="clear" w:color="auto" w:fill="auto"/>
            <w:noWrap/>
            <w:vAlign w:val="bottom"/>
          </w:tcPr>
          <w:p w14:paraId="5AEF41C1" w14:textId="77777777" w:rsidR="00F70E20" w:rsidRPr="00CB425F" w:rsidRDefault="00F70E20" w:rsidP="0099770F">
            <w:pPr>
              <w:jc w:val="center"/>
              <w:rPr>
                <w:color w:val="000000"/>
              </w:rPr>
            </w:pPr>
            <w:r w:rsidRPr="00CB425F">
              <w:rPr>
                <w:color w:val="000000"/>
              </w:rPr>
              <w:t>(0.216)</w:t>
            </w:r>
          </w:p>
        </w:tc>
        <w:tc>
          <w:tcPr>
            <w:tcW w:w="1056" w:type="dxa"/>
            <w:tcBorders>
              <w:top w:val="nil"/>
              <w:left w:val="nil"/>
              <w:bottom w:val="nil"/>
              <w:right w:val="nil"/>
            </w:tcBorders>
            <w:shd w:val="clear" w:color="auto" w:fill="auto"/>
            <w:noWrap/>
            <w:vAlign w:val="bottom"/>
          </w:tcPr>
          <w:p w14:paraId="27BA807A" w14:textId="77777777" w:rsidR="00F70E20" w:rsidRPr="00CB425F" w:rsidRDefault="00F70E20" w:rsidP="0099770F">
            <w:pPr>
              <w:jc w:val="center"/>
              <w:rPr>
                <w:color w:val="000000"/>
              </w:rPr>
            </w:pPr>
            <w:r w:rsidRPr="00CB425F">
              <w:rPr>
                <w:color w:val="000000"/>
              </w:rPr>
              <w:t>(0.603)</w:t>
            </w:r>
          </w:p>
        </w:tc>
        <w:tc>
          <w:tcPr>
            <w:tcW w:w="1056" w:type="dxa"/>
            <w:tcBorders>
              <w:top w:val="nil"/>
              <w:left w:val="nil"/>
              <w:bottom w:val="nil"/>
              <w:right w:val="nil"/>
            </w:tcBorders>
            <w:shd w:val="clear" w:color="auto" w:fill="auto"/>
            <w:noWrap/>
            <w:vAlign w:val="bottom"/>
          </w:tcPr>
          <w:p w14:paraId="38DF895C" w14:textId="77777777" w:rsidR="00F70E20" w:rsidRPr="00CB425F" w:rsidRDefault="00F70E20" w:rsidP="0099770F">
            <w:pPr>
              <w:jc w:val="center"/>
              <w:rPr>
                <w:color w:val="000000"/>
              </w:rPr>
            </w:pPr>
            <w:r w:rsidRPr="00CB425F">
              <w:rPr>
                <w:color w:val="000000"/>
              </w:rPr>
              <w:t>(0.017)</w:t>
            </w:r>
          </w:p>
        </w:tc>
        <w:tc>
          <w:tcPr>
            <w:tcW w:w="1056" w:type="dxa"/>
            <w:tcBorders>
              <w:top w:val="nil"/>
              <w:left w:val="nil"/>
              <w:bottom w:val="nil"/>
              <w:right w:val="nil"/>
            </w:tcBorders>
            <w:shd w:val="clear" w:color="auto" w:fill="auto"/>
            <w:noWrap/>
            <w:vAlign w:val="bottom"/>
          </w:tcPr>
          <w:p w14:paraId="72A55B5F" w14:textId="77777777" w:rsidR="00F70E20" w:rsidRPr="00CB425F" w:rsidRDefault="00F70E20" w:rsidP="0099770F">
            <w:pPr>
              <w:jc w:val="center"/>
              <w:rPr>
                <w:color w:val="000000"/>
              </w:rPr>
            </w:pPr>
            <w:r w:rsidRPr="00CB425F">
              <w:rPr>
                <w:color w:val="000000"/>
              </w:rPr>
              <w:t>(0.076)</w:t>
            </w:r>
          </w:p>
        </w:tc>
        <w:tc>
          <w:tcPr>
            <w:tcW w:w="1056" w:type="dxa"/>
            <w:tcBorders>
              <w:top w:val="nil"/>
              <w:left w:val="nil"/>
              <w:bottom w:val="nil"/>
              <w:right w:val="nil"/>
            </w:tcBorders>
            <w:shd w:val="clear" w:color="auto" w:fill="auto"/>
            <w:noWrap/>
            <w:vAlign w:val="bottom"/>
          </w:tcPr>
          <w:p w14:paraId="4CAF3A41" w14:textId="77777777" w:rsidR="00F70E20" w:rsidRPr="00CB425F" w:rsidRDefault="00F70E20" w:rsidP="0099770F">
            <w:pPr>
              <w:jc w:val="center"/>
              <w:rPr>
                <w:color w:val="000000"/>
              </w:rPr>
            </w:pPr>
            <w:r w:rsidRPr="00CB425F">
              <w:rPr>
                <w:color w:val="000000"/>
              </w:rPr>
              <w:t>(0.368)</w:t>
            </w:r>
          </w:p>
        </w:tc>
      </w:tr>
      <w:tr w:rsidR="00F70E20" w:rsidRPr="00A65CFF" w14:paraId="06298348" w14:textId="77777777" w:rsidTr="00F70E20">
        <w:trPr>
          <w:trHeight w:val="290"/>
        </w:trPr>
        <w:tc>
          <w:tcPr>
            <w:tcW w:w="2410" w:type="dxa"/>
            <w:vMerge w:val="restart"/>
            <w:tcBorders>
              <w:top w:val="nil"/>
              <w:left w:val="nil"/>
              <w:right w:val="nil"/>
            </w:tcBorders>
            <w:shd w:val="clear" w:color="auto" w:fill="auto"/>
            <w:noWrap/>
            <w:vAlign w:val="center"/>
            <w:hideMark/>
          </w:tcPr>
          <w:p w14:paraId="28D579C7" w14:textId="77777777" w:rsidR="00F70E20" w:rsidRPr="00CB425F" w:rsidRDefault="00F70E20" w:rsidP="0099770F">
            <w:pPr>
              <w:jc w:val="right"/>
              <w:rPr>
                <w:i/>
                <w:iCs/>
                <w:color w:val="000000"/>
              </w:rPr>
            </w:pPr>
            <w:r w:rsidRPr="00CB425F">
              <w:rPr>
                <w:i/>
                <w:iCs/>
                <w:color w:val="000000"/>
              </w:rPr>
              <w:t>Systems software</w:t>
            </w:r>
          </w:p>
        </w:tc>
        <w:tc>
          <w:tcPr>
            <w:tcW w:w="1056" w:type="dxa"/>
            <w:tcBorders>
              <w:top w:val="nil"/>
              <w:left w:val="nil"/>
              <w:bottom w:val="nil"/>
              <w:right w:val="nil"/>
            </w:tcBorders>
            <w:shd w:val="clear" w:color="auto" w:fill="auto"/>
            <w:noWrap/>
            <w:vAlign w:val="bottom"/>
          </w:tcPr>
          <w:p w14:paraId="20AD82DD" w14:textId="77777777" w:rsidR="00F70E20" w:rsidRPr="00CB425F" w:rsidRDefault="00F70E20" w:rsidP="0099770F">
            <w:pPr>
              <w:jc w:val="center"/>
              <w:rPr>
                <w:color w:val="000000"/>
              </w:rPr>
            </w:pPr>
            <w:r w:rsidRPr="00CB425F">
              <w:rPr>
                <w:color w:val="000000"/>
              </w:rPr>
              <w:t>0.290</w:t>
            </w:r>
          </w:p>
        </w:tc>
        <w:tc>
          <w:tcPr>
            <w:tcW w:w="1056" w:type="dxa"/>
            <w:tcBorders>
              <w:top w:val="nil"/>
              <w:left w:val="nil"/>
              <w:bottom w:val="nil"/>
              <w:right w:val="nil"/>
            </w:tcBorders>
            <w:shd w:val="clear" w:color="auto" w:fill="auto"/>
            <w:noWrap/>
            <w:vAlign w:val="bottom"/>
          </w:tcPr>
          <w:p w14:paraId="3B821B46" w14:textId="77777777" w:rsidR="00F70E20" w:rsidRPr="00CB425F" w:rsidRDefault="00F70E20" w:rsidP="0099770F">
            <w:pPr>
              <w:jc w:val="center"/>
              <w:rPr>
                <w:color w:val="000000"/>
              </w:rPr>
            </w:pPr>
            <w:r w:rsidRPr="00CB425F">
              <w:rPr>
                <w:color w:val="000000"/>
              </w:rPr>
              <w:t>0.245</w:t>
            </w:r>
          </w:p>
        </w:tc>
        <w:tc>
          <w:tcPr>
            <w:tcW w:w="1056" w:type="dxa"/>
            <w:tcBorders>
              <w:top w:val="nil"/>
              <w:left w:val="nil"/>
              <w:bottom w:val="nil"/>
              <w:right w:val="nil"/>
            </w:tcBorders>
            <w:shd w:val="clear" w:color="auto" w:fill="auto"/>
            <w:noWrap/>
            <w:vAlign w:val="bottom"/>
          </w:tcPr>
          <w:p w14:paraId="095D0EBF" w14:textId="77777777" w:rsidR="00F70E20" w:rsidRPr="00CB425F" w:rsidRDefault="00F70E20" w:rsidP="0099770F">
            <w:pPr>
              <w:jc w:val="center"/>
              <w:rPr>
                <w:color w:val="000000"/>
              </w:rPr>
            </w:pPr>
            <w:r w:rsidRPr="00CB425F">
              <w:rPr>
                <w:color w:val="000000"/>
              </w:rPr>
              <w:t>0.263</w:t>
            </w:r>
          </w:p>
        </w:tc>
        <w:tc>
          <w:tcPr>
            <w:tcW w:w="1056" w:type="dxa"/>
            <w:tcBorders>
              <w:top w:val="nil"/>
              <w:left w:val="nil"/>
              <w:bottom w:val="nil"/>
              <w:right w:val="nil"/>
            </w:tcBorders>
            <w:shd w:val="clear" w:color="auto" w:fill="auto"/>
            <w:noWrap/>
            <w:vAlign w:val="bottom"/>
          </w:tcPr>
          <w:p w14:paraId="520B5F59" w14:textId="77777777" w:rsidR="00F70E20" w:rsidRPr="00CB425F" w:rsidRDefault="00F70E20" w:rsidP="0099770F">
            <w:pPr>
              <w:jc w:val="center"/>
              <w:rPr>
                <w:color w:val="000000"/>
              </w:rPr>
            </w:pPr>
            <w:r w:rsidRPr="00CB425F">
              <w:rPr>
                <w:color w:val="000000"/>
              </w:rPr>
              <w:t>0.203</w:t>
            </w:r>
          </w:p>
        </w:tc>
        <w:tc>
          <w:tcPr>
            <w:tcW w:w="1056" w:type="dxa"/>
            <w:tcBorders>
              <w:top w:val="nil"/>
              <w:left w:val="nil"/>
              <w:bottom w:val="nil"/>
              <w:right w:val="nil"/>
            </w:tcBorders>
            <w:shd w:val="clear" w:color="auto" w:fill="auto"/>
            <w:noWrap/>
            <w:vAlign w:val="bottom"/>
          </w:tcPr>
          <w:p w14:paraId="1955A862" w14:textId="77777777" w:rsidR="00F70E20" w:rsidRPr="00CB425F" w:rsidRDefault="00F70E20" w:rsidP="0099770F">
            <w:pPr>
              <w:jc w:val="center"/>
              <w:rPr>
                <w:color w:val="000000"/>
              </w:rPr>
            </w:pPr>
            <w:r w:rsidRPr="00CB425F">
              <w:rPr>
                <w:color w:val="000000"/>
              </w:rPr>
              <w:t>0.159</w:t>
            </w:r>
          </w:p>
        </w:tc>
      </w:tr>
      <w:tr w:rsidR="00F70E20" w:rsidRPr="00A65CFF" w14:paraId="506EB724" w14:textId="77777777" w:rsidTr="00F70E20">
        <w:trPr>
          <w:trHeight w:val="290"/>
        </w:trPr>
        <w:tc>
          <w:tcPr>
            <w:tcW w:w="2410" w:type="dxa"/>
            <w:vMerge/>
            <w:tcBorders>
              <w:left w:val="nil"/>
              <w:bottom w:val="nil"/>
              <w:right w:val="nil"/>
            </w:tcBorders>
            <w:shd w:val="clear" w:color="auto" w:fill="auto"/>
            <w:noWrap/>
            <w:vAlign w:val="center"/>
            <w:hideMark/>
          </w:tcPr>
          <w:p w14:paraId="019E262B" w14:textId="77777777" w:rsidR="00F70E20" w:rsidRPr="00CB425F" w:rsidRDefault="00F70E20" w:rsidP="0099770F">
            <w:pPr>
              <w:jc w:val="right"/>
              <w:rPr>
                <w:i/>
                <w:iCs/>
                <w:color w:val="000000"/>
              </w:rPr>
            </w:pPr>
          </w:p>
        </w:tc>
        <w:tc>
          <w:tcPr>
            <w:tcW w:w="1056" w:type="dxa"/>
            <w:tcBorders>
              <w:top w:val="nil"/>
              <w:left w:val="nil"/>
              <w:bottom w:val="nil"/>
              <w:right w:val="nil"/>
            </w:tcBorders>
            <w:shd w:val="clear" w:color="auto" w:fill="auto"/>
            <w:noWrap/>
            <w:vAlign w:val="bottom"/>
          </w:tcPr>
          <w:p w14:paraId="2B2AFE43" w14:textId="77777777" w:rsidR="00F70E20" w:rsidRPr="00CB425F" w:rsidRDefault="00F70E20" w:rsidP="0099770F">
            <w:pPr>
              <w:jc w:val="center"/>
              <w:rPr>
                <w:color w:val="000000"/>
              </w:rPr>
            </w:pPr>
            <w:r w:rsidRPr="00CB425F">
              <w:rPr>
                <w:color w:val="000000"/>
              </w:rPr>
              <w:t>(0.000)</w:t>
            </w:r>
          </w:p>
        </w:tc>
        <w:tc>
          <w:tcPr>
            <w:tcW w:w="1056" w:type="dxa"/>
            <w:tcBorders>
              <w:top w:val="nil"/>
              <w:left w:val="nil"/>
              <w:bottom w:val="nil"/>
              <w:right w:val="nil"/>
            </w:tcBorders>
            <w:shd w:val="clear" w:color="auto" w:fill="auto"/>
            <w:noWrap/>
            <w:vAlign w:val="bottom"/>
          </w:tcPr>
          <w:p w14:paraId="2B69247D" w14:textId="77777777" w:rsidR="00F70E20" w:rsidRPr="00CB425F" w:rsidRDefault="00F70E20" w:rsidP="0099770F">
            <w:pPr>
              <w:jc w:val="center"/>
              <w:rPr>
                <w:color w:val="000000"/>
              </w:rPr>
            </w:pPr>
            <w:r w:rsidRPr="00CB425F">
              <w:rPr>
                <w:color w:val="000000"/>
              </w:rPr>
              <w:t>(0.000)</w:t>
            </w:r>
          </w:p>
        </w:tc>
        <w:tc>
          <w:tcPr>
            <w:tcW w:w="1056" w:type="dxa"/>
            <w:tcBorders>
              <w:top w:val="nil"/>
              <w:left w:val="nil"/>
              <w:bottom w:val="nil"/>
              <w:right w:val="nil"/>
            </w:tcBorders>
            <w:shd w:val="clear" w:color="auto" w:fill="auto"/>
            <w:noWrap/>
            <w:vAlign w:val="bottom"/>
          </w:tcPr>
          <w:p w14:paraId="7BA98DB6" w14:textId="77777777" w:rsidR="00F70E20" w:rsidRPr="00CB425F" w:rsidRDefault="00F70E20" w:rsidP="0099770F">
            <w:pPr>
              <w:jc w:val="center"/>
              <w:rPr>
                <w:color w:val="000000"/>
              </w:rPr>
            </w:pPr>
            <w:r w:rsidRPr="00CB425F">
              <w:rPr>
                <w:color w:val="000000"/>
              </w:rPr>
              <w:t>(0.000)</w:t>
            </w:r>
          </w:p>
        </w:tc>
        <w:tc>
          <w:tcPr>
            <w:tcW w:w="1056" w:type="dxa"/>
            <w:tcBorders>
              <w:top w:val="nil"/>
              <w:left w:val="nil"/>
              <w:bottom w:val="nil"/>
              <w:right w:val="nil"/>
            </w:tcBorders>
            <w:shd w:val="clear" w:color="auto" w:fill="auto"/>
            <w:noWrap/>
            <w:vAlign w:val="bottom"/>
          </w:tcPr>
          <w:p w14:paraId="32AE6D73" w14:textId="77777777" w:rsidR="00F70E20" w:rsidRPr="00CB425F" w:rsidRDefault="00F70E20" w:rsidP="0099770F">
            <w:pPr>
              <w:jc w:val="center"/>
              <w:rPr>
                <w:color w:val="000000"/>
              </w:rPr>
            </w:pPr>
            <w:r w:rsidRPr="00CB425F">
              <w:rPr>
                <w:color w:val="000000"/>
              </w:rPr>
              <w:t>(0.001)</w:t>
            </w:r>
          </w:p>
        </w:tc>
        <w:tc>
          <w:tcPr>
            <w:tcW w:w="1056" w:type="dxa"/>
            <w:tcBorders>
              <w:top w:val="nil"/>
              <w:left w:val="nil"/>
              <w:bottom w:val="nil"/>
              <w:right w:val="nil"/>
            </w:tcBorders>
            <w:shd w:val="clear" w:color="auto" w:fill="auto"/>
            <w:noWrap/>
            <w:vAlign w:val="bottom"/>
          </w:tcPr>
          <w:p w14:paraId="68A9AD6A" w14:textId="77777777" w:rsidR="00F70E20" w:rsidRPr="00CB425F" w:rsidRDefault="00F70E20" w:rsidP="0099770F">
            <w:pPr>
              <w:jc w:val="center"/>
              <w:rPr>
                <w:color w:val="000000"/>
              </w:rPr>
            </w:pPr>
            <w:r w:rsidRPr="00CB425F">
              <w:rPr>
                <w:color w:val="000000"/>
              </w:rPr>
              <w:t>(0.006)</w:t>
            </w:r>
          </w:p>
        </w:tc>
      </w:tr>
      <w:tr w:rsidR="00F70E20" w:rsidRPr="00A65CFF" w14:paraId="3D368907" w14:textId="77777777" w:rsidTr="00F70E20">
        <w:trPr>
          <w:trHeight w:val="290"/>
        </w:trPr>
        <w:tc>
          <w:tcPr>
            <w:tcW w:w="2410" w:type="dxa"/>
            <w:vMerge w:val="restart"/>
            <w:tcBorders>
              <w:top w:val="nil"/>
              <w:left w:val="nil"/>
              <w:right w:val="nil"/>
            </w:tcBorders>
            <w:shd w:val="clear" w:color="auto" w:fill="auto"/>
            <w:noWrap/>
            <w:vAlign w:val="center"/>
            <w:hideMark/>
          </w:tcPr>
          <w:p w14:paraId="4274AEAE" w14:textId="77777777" w:rsidR="00F70E20" w:rsidRPr="00CB425F" w:rsidRDefault="00F70E20" w:rsidP="0099770F">
            <w:pPr>
              <w:jc w:val="right"/>
              <w:rPr>
                <w:i/>
                <w:iCs/>
                <w:color w:val="000000"/>
              </w:rPr>
            </w:pPr>
            <w:r w:rsidRPr="00CB425F">
              <w:rPr>
                <w:i/>
                <w:iCs/>
                <w:color w:val="000000"/>
              </w:rPr>
              <w:t>Internet &amp; direct retail</w:t>
            </w:r>
          </w:p>
        </w:tc>
        <w:tc>
          <w:tcPr>
            <w:tcW w:w="1056" w:type="dxa"/>
            <w:tcBorders>
              <w:top w:val="nil"/>
              <w:left w:val="nil"/>
              <w:bottom w:val="nil"/>
              <w:right w:val="nil"/>
            </w:tcBorders>
            <w:shd w:val="clear" w:color="auto" w:fill="auto"/>
            <w:noWrap/>
            <w:vAlign w:val="bottom"/>
          </w:tcPr>
          <w:p w14:paraId="115E1172" w14:textId="77777777" w:rsidR="00F70E20" w:rsidRPr="00CB425F" w:rsidRDefault="00F70E20" w:rsidP="0099770F">
            <w:pPr>
              <w:jc w:val="center"/>
              <w:rPr>
                <w:color w:val="000000"/>
              </w:rPr>
            </w:pPr>
            <w:r w:rsidRPr="00CB425F">
              <w:rPr>
                <w:color w:val="000000"/>
              </w:rPr>
              <w:t>0.234</w:t>
            </w:r>
          </w:p>
        </w:tc>
        <w:tc>
          <w:tcPr>
            <w:tcW w:w="1056" w:type="dxa"/>
            <w:tcBorders>
              <w:top w:val="nil"/>
              <w:left w:val="nil"/>
              <w:bottom w:val="nil"/>
              <w:right w:val="nil"/>
            </w:tcBorders>
            <w:shd w:val="clear" w:color="auto" w:fill="auto"/>
            <w:noWrap/>
            <w:vAlign w:val="bottom"/>
          </w:tcPr>
          <w:p w14:paraId="60CFF9C9" w14:textId="77777777" w:rsidR="00F70E20" w:rsidRPr="00CB425F" w:rsidRDefault="00F70E20" w:rsidP="0099770F">
            <w:pPr>
              <w:jc w:val="center"/>
              <w:rPr>
                <w:color w:val="000000"/>
              </w:rPr>
            </w:pPr>
            <w:r w:rsidRPr="00CB425F">
              <w:rPr>
                <w:color w:val="000000"/>
              </w:rPr>
              <w:t>0.202</w:t>
            </w:r>
          </w:p>
        </w:tc>
        <w:tc>
          <w:tcPr>
            <w:tcW w:w="1056" w:type="dxa"/>
            <w:tcBorders>
              <w:top w:val="nil"/>
              <w:left w:val="nil"/>
              <w:bottom w:val="nil"/>
              <w:right w:val="nil"/>
            </w:tcBorders>
            <w:shd w:val="clear" w:color="auto" w:fill="auto"/>
            <w:noWrap/>
            <w:vAlign w:val="bottom"/>
          </w:tcPr>
          <w:p w14:paraId="25AE76C7" w14:textId="77777777" w:rsidR="00F70E20" w:rsidRPr="00CB425F" w:rsidRDefault="00F70E20" w:rsidP="0099770F">
            <w:pPr>
              <w:jc w:val="center"/>
              <w:rPr>
                <w:color w:val="000000"/>
              </w:rPr>
            </w:pPr>
            <w:r w:rsidRPr="00CB425F">
              <w:rPr>
                <w:color w:val="000000"/>
              </w:rPr>
              <w:t>0.321</w:t>
            </w:r>
          </w:p>
        </w:tc>
        <w:tc>
          <w:tcPr>
            <w:tcW w:w="1056" w:type="dxa"/>
            <w:tcBorders>
              <w:top w:val="nil"/>
              <w:left w:val="nil"/>
              <w:bottom w:val="nil"/>
              <w:right w:val="nil"/>
            </w:tcBorders>
            <w:shd w:val="clear" w:color="auto" w:fill="auto"/>
            <w:noWrap/>
            <w:vAlign w:val="bottom"/>
          </w:tcPr>
          <w:p w14:paraId="310F7335" w14:textId="77777777" w:rsidR="00F70E20" w:rsidRPr="00CB425F" w:rsidRDefault="00F70E20" w:rsidP="0099770F">
            <w:pPr>
              <w:jc w:val="center"/>
              <w:rPr>
                <w:color w:val="000000"/>
              </w:rPr>
            </w:pPr>
            <w:r w:rsidRPr="00CB425F">
              <w:rPr>
                <w:color w:val="000000"/>
              </w:rPr>
              <w:t>0.289</w:t>
            </w:r>
          </w:p>
        </w:tc>
        <w:tc>
          <w:tcPr>
            <w:tcW w:w="1056" w:type="dxa"/>
            <w:tcBorders>
              <w:top w:val="nil"/>
              <w:left w:val="nil"/>
              <w:bottom w:val="nil"/>
              <w:right w:val="nil"/>
            </w:tcBorders>
            <w:shd w:val="clear" w:color="auto" w:fill="auto"/>
            <w:noWrap/>
            <w:vAlign w:val="bottom"/>
          </w:tcPr>
          <w:p w14:paraId="38C37399" w14:textId="77777777" w:rsidR="00F70E20" w:rsidRPr="00CB425F" w:rsidRDefault="00F70E20" w:rsidP="0099770F">
            <w:pPr>
              <w:jc w:val="center"/>
              <w:rPr>
                <w:color w:val="000000"/>
              </w:rPr>
            </w:pPr>
            <w:r w:rsidRPr="00CB425F">
              <w:rPr>
                <w:color w:val="000000"/>
              </w:rPr>
              <w:t>0.254</w:t>
            </w:r>
          </w:p>
        </w:tc>
      </w:tr>
      <w:tr w:rsidR="00F70E20" w:rsidRPr="00A65CFF" w14:paraId="2195652C" w14:textId="77777777" w:rsidTr="00F70E20">
        <w:trPr>
          <w:trHeight w:val="290"/>
        </w:trPr>
        <w:tc>
          <w:tcPr>
            <w:tcW w:w="2410" w:type="dxa"/>
            <w:vMerge/>
            <w:tcBorders>
              <w:left w:val="nil"/>
              <w:bottom w:val="nil"/>
              <w:right w:val="nil"/>
            </w:tcBorders>
            <w:shd w:val="clear" w:color="auto" w:fill="auto"/>
            <w:noWrap/>
            <w:vAlign w:val="center"/>
            <w:hideMark/>
          </w:tcPr>
          <w:p w14:paraId="7033A037" w14:textId="77777777" w:rsidR="00F70E20" w:rsidRPr="00CB425F" w:rsidRDefault="00F70E20" w:rsidP="0099770F">
            <w:pPr>
              <w:jc w:val="right"/>
              <w:rPr>
                <w:i/>
                <w:iCs/>
                <w:color w:val="000000"/>
              </w:rPr>
            </w:pPr>
          </w:p>
        </w:tc>
        <w:tc>
          <w:tcPr>
            <w:tcW w:w="1056" w:type="dxa"/>
            <w:tcBorders>
              <w:top w:val="nil"/>
              <w:left w:val="nil"/>
              <w:bottom w:val="nil"/>
              <w:right w:val="nil"/>
            </w:tcBorders>
            <w:shd w:val="clear" w:color="auto" w:fill="auto"/>
            <w:noWrap/>
            <w:vAlign w:val="bottom"/>
          </w:tcPr>
          <w:p w14:paraId="0796538C" w14:textId="77777777" w:rsidR="00F70E20" w:rsidRPr="00CB425F" w:rsidRDefault="00F70E20" w:rsidP="0099770F">
            <w:pPr>
              <w:jc w:val="center"/>
              <w:rPr>
                <w:color w:val="000000"/>
              </w:rPr>
            </w:pPr>
            <w:r w:rsidRPr="00CB425F">
              <w:rPr>
                <w:color w:val="000000"/>
              </w:rPr>
              <w:t>(0.000)</w:t>
            </w:r>
          </w:p>
        </w:tc>
        <w:tc>
          <w:tcPr>
            <w:tcW w:w="1056" w:type="dxa"/>
            <w:tcBorders>
              <w:top w:val="nil"/>
              <w:left w:val="nil"/>
              <w:bottom w:val="nil"/>
              <w:right w:val="nil"/>
            </w:tcBorders>
            <w:shd w:val="clear" w:color="auto" w:fill="auto"/>
            <w:noWrap/>
            <w:vAlign w:val="bottom"/>
          </w:tcPr>
          <w:p w14:paraId="2D0FD530" w14:textId="77777777" w:rsidR="00F70E20" w:rsidRPr="00CB425F" w:rsidRDefault="00F70E20" w:rsidP="0099770F">
            <w:pPr>
              <w:jc w:val="center"/>
              <w:rPr>
                <w:color w:val="000000"/>
              </w:rPr>
            </w:pPr>
            <w:r w:rsidRPr="00CB425F">
              <w:rPr>
                <w:color w:val="000000"/>
              </w:rPr>
              <w:t>(0.003)</w:t>
            </w:r>
          </w:p>
        </w:tc>
        <w:tc>
          <w:tcPr>
            <w:tcW w:w="1056" w:type="dxa"/>
            <w:tcBorders>
              <w:top w:val="nil"/>
              <w:left w:val="nil"/>
              <w:bottom w:val="nil"/>
              <w:right w:val="nil"/>
            </w:tcBorders>
            <w:shd w:val="clear" w:color="auto" w:fill="auto"/>
            <w:noWrap/>
            <w:vAlign w:val="bottom"/>
          </w:tcPr>
          <w:p w14:paraId="5372562C" w14:textId="77777777" w:rsidR="00F70E20" w:rsidRPr="00CB425F" w:rsidRDefault="00F70E20" w:rsidP="0099770F">
            <w:pPr>
              <w:jc w:val="center"/>
              <w:rPr>
                <w:color w:val="000000"/>
              </w:rPr>
            </w:pPr>
            <w:r w:rsidRPr="00CB425F">
              <w:rPr>
                <w:color w:val="000000"/>
              </w:rPr>
              <w:t>(0.000)</w:t>
            </w:r>
          </w:p>
        </w:tc>
        <w:tc>
          <w:tcPr>
            <w:tcW w:w="1056" w:type="dxa"/>
            <w:tcBorders>
              <w:top w:val="nil"/>
              <w:left w:val="nil"/>
              <w:bottom w:val="nil"/>
              <w:right w:val="nil"/>
            </w:tcBorders>
            <w:shd w:val="clear" w:color="auto" w:fill="auto"/>
            <w:noWrap/>
            <w:vAlign w:val="bottom"/>
          </w:tcPr>
          <w:p w14:paraId="6460B79D" w14:textId="77777777" w:rsidR="00F70E20" w:rsidRPr="00CB425F" w:rsidRDefault="00F70E20" w:rsidP="0099770F">
            <w:pPr>
              <w:jc w:val="center"/>
              <w:rPr>
                <w:color w:val="000000"/>
              </w:rPr>
            </w:pPr>
            <w:r w:rsidRPr="00CB425F">
              <w:rPr>
                <w:color w:val="000000"/>
              </w:rPr>
              <w:t>(0.000)</w:t>
            </w:r>
          </w:p>
        </w:tc>
        <w:tc>
          <w:tcPr>
            <w:tcW w:w="1056" w:type="dxa"/>
            <w:tcBorders>
              <w:top w:val="nil"/>
              <w:left w:val="nil"/>
              <w:bottom w:val="nil"/>
              <w:right w:val="nil"/>
            </w:tcBorders>
            <w:shd w:val="clear" w:color="auto" w:fill="auto"/>
            <w:noWrap/>
            <w:vAlign w:val="bottom"/>
          </w:tcPr>
          <w:p w14:paraId="6D70F5DF" w14:textId="77777777" w:rsidR="00F70E20" w:rsidRPr="00CB425F" w:rsidRDefault="00F70E20" w:rsidP="0099770F">
            <w:pPr>
              <w:jc w:val="center"/>
              <w:rPr>
                <w:color w:val="000000"/>
              </w:rPr>
            </w:pPr>
            <w:r w:rsidRPr="00CB425F">
              <w:rPr>
                <w:color w:val="000000"/>
              </w:rPr>
              <w:t>(0.001)</w:t>
            </w:r>
          </w:p>
        </w:tc>
      </w:tr>
      <w:tr w:rsidR="00F70E20" w:rsidRPr="00A65CFF" w14:paraId="0D6A484E" w14:textId="77777777" w:rsidTr="00F70E20">
        <w:trPr>
          <w:trHeight w:val="290"/>
        </w:trPr>
        <w:tc>
          <w:tcPr>
            <w:tcW w:w="2410" w:type="dxa"/>
            <w:vMerge w:val="restart"/>
            <w:tcBorders>
              <w:top w:val="nil"/>
              <w:left w:val="nil"/>
              <w:right w:val="nil"/>
            </w:tcBorders>
            <w:shd w:val="clear" w:color="auto" w:fill="auto"/>
            <w:noWrap/>
            <w:vAlign w:val="center"/>
            <w:hideMark/>
          </w:tcPr>
          <w:p w14:paraId="7B5717E1" w14:textId="77777777" w:rsidR="00F70E20" w:rsidRPr="00CB425F" w:rsidRDefault="00F70E20" w:rsidP="0099770F">
            <w:pPr>
              <w:jc w:val="right"/>
              <w:rPr>
                <w:i/>
                <w:iCs/>
                <w:color w:val="000000"/>
              </w:rPr>
            </w:pPr>
            <w:r w:rsidRPr="00CB425F">
              <w:rPr>
                <w:i/>
                <w:iCs/>
                <w:color w:val="000000"/>
              </w:rPr>
              <w:t>Health care technology</w:t>
            </w:r>
          </w:p>
        </w:tc>
        <w:tc>
          <w:tcPr>
            <w:tcW w:w="1056" w:type="dxa"/>
            <w:tcBorders>
              <w:top w:val="nil"/>
              <w:left w:val="nil"/>
              <w:bottom w:val="nil"/>
              <w:right w:val="nil"/>
            </w:tcBorders>
            <w:shd w:val="clear" w:color="auto" w:fill="auto"/>
            <w:noWrap/>
            <w:vAlign w:val="bottom"/>
          </w:tcPr>
          <w:p w14:paraId="573C1D34" w14:textId="77777777" w:rsidR="00F70E20" w:rsidRPr="00CB425F" w:rsidRDefault="00F70E20" w:rsidP="0099770F">
            <w:pPr>
              <w:jc w:val="center"/>
              <w:rPr>
                <w:color w:val="000000"/>
              </w:rPr>
            </w:pPr>
            <w:r w:rsidRPr="00CB425F">
              <w:rPr>
                <w:color w:val="000000"/>
              </w:rPr>
              <w:t>0.0702</w:t>
            </w:r>
          </w:p>
        </w:tc>
        <w:tc>
          <w:tcPr>
            <w:tcW w:w="1056" w:type="dxa"/>
            <w:tcBorders>
              <w:top w:val="nil"/>
              <w:left w:val="nil"/>
              <w:bottom w:val="nil"/>
              <w:right w:val="nil"/>
            </w:tcBorders>
            <w:shd w:val="clear" w:color="auto" w:fill="auto"/>
            <w:noWrap/>
            <w:vAlign w:val="bottom"/>
          </w:tcPr>
          <w:p w14:paraId="38394781" w14:textId="77777777" w:rsidR="00F70E20" w:rsidRPr="00CB425F" w:rsidRDefault="00F70E20" w:rsidP="0099770F">
            <w:pPr>
              <w:jc w:val="center"/>
              <w:rPr>
                <w:color w:val="000000"/>
              </w:rPr>
            </w:pPr>
            <w:r w:rsidRPr="00CB425F">
              <w:rPr>
                <w:color w:val="000000"/>
              </w:rPr>
              <w:t>0.0582</w:t>
            </w:r>
          </w:p>
        </w:tc>
        <w:tc>
          <w:tcPr>
            <w:tcW w:w="1056" w:type="dxa"/>
            <w:tcBorders>
              <w:top w:val="nil"/>
              <w:left w:val="nil"/>
              <w:bottom w:val="nil"/>
              <w:right w:val="nil"/>
            </w:tcBorders>
            <w:shd w:val="clear" w:color="auto" w:fill="auto"/>
            <w:noWrap/>
            <w:vAlign w:val="bottom"/>
          </w:tcPr>
          <w:p w14:paraId="0879041F" w14:textId="77777777" w:rsidR="00F70E20" w:rsidRPr="00CB425F" w:rsidRDefault="00F70E20" w:rsidP="0099770F">
            <w:pPr>
              <w:jc w:val="center"/>
              <w:rPr>
                <w:color w:val="000000"/>
              </w:rPr>
            </w:pPr>
            <w:r w:rsidRPr="00CB425F">
              <w:rPr>
                <w:color w:val="000000"/>
              </w:rPr>
              <w:t>0.0654</w:t>
            </w:r>
          </w:p>
        </w:tc>
        <w:tc>
          <w:tcPr>
            <w:tcW w:w="1056" w:type="dxa"/>
            <w:tcBorders>
              <w:top w:val="nil"/>
              <w:left w:val="nil"/>
              <w:bottom w:val="nil"/>
              <w:right w:val="nil"/>
            </w:tcBorders>
            <w:shd w:val="clear" w:color="auto" w:fill="auto"/>
            <w:noWrap/>
            <w:vAlign w:val="bottom"/>
          </w:tcPr>
          <w:p w14:paraId="259FCE17" w14:textId="77777777" w:rsidR="00F70E20" w:rsidRPr="00CB425F" w:rsidRDefault="00F70E20" w:rsidP="0099770F">
            <w:pPr>
              <w:jc w:val="center"/>
              <w:rPr>
                <w:color w:val="000000"/>
              </w:rPr>
            </w:pPr>
            <w:r w:rsidRPr="00CB425F">
              <w:rPr>
                <w:color w:val="000000"/>
              </w:rPr>
              <w:t>0.0490</w:t>
            </w:r>
          </w:p>
        </w:tc>
        <w:tc>
          <w:tcPr>
            <w:tcW w:w="1056" w:type="dxa"/>
            <w:tcBorders>
              <w:top w:val="nil"/>
              <w:left w:val="nil"/>
              <w:bottom w:val="nil"/>
              <w:right w:val="nil"/>
            </w:tcBorders>
            <w:shd w:val="clear" w:color="auto" w:fill="auto"/>
            <w:noWrap/>
            <w:vAlign w:val="bottom"/>
          </w:tcPr>
          <w:p w14:paraId="7EB1FE00" w14:textId="77777777" w:rsidR="00F70E20" w:rsidRPr="00CB425F" w:rsidRDefault="00F70E20" w:rsidP="0099770F">
            <w:pPr>
              <w:jc w:val="center"/>
              <w:rPr>
                <w:color w:val="000000"/>
              </w:rPr>
            </w:pPr>
            <w:r w:rsidRPr="00CB425F">
              <w:rPr>
                <w:color w:val="000000"/>
              </w:rPr>
              <w:t>0.00551</w:t>
            </w:r>
          </w:p>
        </w:tc>
      </w:tr>
      <w:tr w:rsidR="00F70E20" w:rsidRPr="00A65CFF" w14:paraId="5E1DA5AC" w14:textId="77777777" w:rsidTr="00F70E20">
        <w:trPr>
          <w:trHeight w:val="290"/>
        </w:trPr>
        <w:tc>
          <w:tcPr>
            <w:tcW w:w="2410" w:type="dxa"/>
            <w:vMerge/>
            <w:tcBorders>
              <w:left w:val="nil"/>
              <w:bottom w:val="nil"/>
              <w:right w:val="nil"/>
            </w:tcBorders>
            <w:shd w:val="clear" w:color="auto" w:fill="auto"/>
            <w:noWrap/>
            <w:vAlign w:val="center"/>
            <w:hideMark/>
          </w:tcPr>
          <w:p w14:paraId="41648704" w14:textId="77777777" w:rsidR="00F70E20" w:rsidRPr="00CB425F" w:rsidRDefault="00F70E20" w:rsidP="0099770F">
            <w:pPr>
              <w:jc w:val="right"/>
              <w:rPr>
                <w:i/>
                <w:iCs/>
                <w:color w:val="000000"/>
              </w:rPr>
            </w:pPr>
          </w:p>
        </w:tc>
        <w:tc>
          <w:tcPr>
            <w:tcW w:w="1056" w:type="dxa"/>
            <w:tcBorders>
              <w:top w:val="nil"/>
              <w:left w:val="nil"/>
              <w:bottom w:val="nil"/>
              <w:right w:val="nil"/>
            </w:tcBorders>
            <w:shd w:val="clear" w:color="auto" w:fill="auto"/>
            <w:noWrap/>
            <w:vAlign w:val="bottom"/>
          </w:tcPr>
          <w:p w14:paraId="489C8483" w14:textId="77777777" w:rsidR="00F70E20" w:rsidRPr="00CB425F" w:rsidRDefault="00F70E20" w:rsidP="0099770F">
            <w:pPr>
              <w:jc w:val="center"/>
              <w:rPr>
                <w:color w:val="000000"/>
              </w:rPr>
            </w:pPr>
            <w:r w:rsidRPr="00CB425F">
              <w:rPr>
                <w:color w:val="000000"/>
              </w:rPr>
              <w:t>(0.355)</w:t>
            </w:r>
          </w:p>
        </w:tc>
        <w:tc>
          <w:tcPr>
            <w:tcW w:w="1056" w:type="dxa"/>
            <w:tcBorders>
              <w:top w:val="nil"/>
              <w:left w:val="nil"/>
              <w:bottom w:val="nil"/>
              <w:right w:val="nil"/>
            </w:tcBorders>
            <w:shd w:val="clear" w:color="auto" w:fill="auto"/>
            <w:noWrap/>
            <w:vAlign w:val="bottom"/>
          </w:tcPr>
          <w:p w14:paraId="37946A2F" w14:textId="77777777" w:rsidR="00F70E20" w:rsidRPr="00CB425F" w:rsidRDefault="00F70E20" w:rsidP="0099770F">
            <w:pPr>
              <w:jc w:val="center"/>
              <w:rPr>
                <w:color w:val="000000"/>
              </w:rPr>
            </w:pPr>
            <w:r w:rsidRPr="00CB425F">
              <w:rPr>
                <w:color w:val="000000"/>
              </w:rPr>
              <w:t>(0.445)</w:t>
            </w:r>
          </w:p>
        </w:tc>
        <w:tc>
          <w:tcPr>
            <w:tcW w:w="1056" w:type="dxa"/>
            <w:tcBorders>
              <w:top w:val="nil"/>
              <w:left w:val="nil"/>
              <w:bottom w:val="nil"/>
              <w:right w:val="nil"/>
            </w:tcBorders>
            <w:shd w:val="clear" w:color="auto" w:fill="auto"/>
            <w:noWrap/>
            <w:vAlign w:val="bottom"/>
          </w:tcPr>
          <w:p w14:paraId="53BA69AF" w14:textId="77777777" w:rsidR="00F70E20" w:rsidRPr="00CB425F" w:rsidRDefault="00F70E20" w:rsidP="0099770F">
            <w:pPr>
              <w:jc w:val="center"/>
              <w:rPr>
                <w:color w:val="000000"/>
              </w:rPr>
            </w:pPr>
            <w:r w:rsidRPr="00CB425F">
              <w:rPr>
                <w:color w:val="000000"/>
              </w:rPr>
              <w:t>(0.381)</w:t>
            </w:r>
          </w:p>
        </w:tc>
        <w:tc>
          <w:tcPr>
            <w:tcW w:w="1056" w:type="dxa"/>
            <w:tcBorders>
              <w:top w:val="nil"/>
              <w:left w:val="nil"/>
              <w:bottom w:val="nil"/>
              <w:right w:val="nil"/>
            </w:tcBorders>
            <w:shd w:val="clear" w:color="auto" w:fill="auto"/>
            <w:noWrap/>
            <w:vAlign w:val="bottom"/>
          </w:tcPr>
          <w:p w14:paraId="31754BE5" w14:textId="77777777" w:rsidR="00F70E20" w:rsidRPr="00CB425F" w:rsidRDefault="00F70E20" w:rsidP="0099770F">
            <w:pPr>
              <w:jc w:val="center"/>
              <w:rPr>
                <w:color w:val="000000"/>
              </w:rPr>
            </w:pPr>
            <w:r w:rsidRPr="00CB425F">
              <w:rPr>
                <w:color w:val="000000"/>
              </w:rPr>
              <w:t>(0.511)</w:t>
            </w:r>
          </w:p>
        </w:tc>
        <w:tc>
          <w:tcPr>
            <w:tcW w:w="1056" w:type="dxa"/>
            <w:tcBorders>
              <w:top w:val="nil"/>
              <w:left w:val="nil"/>
              <w:bottom w:val="nil"/>
              <w:right w:val="nil"/>
            </w:tcBorders>
            <w:shd w:val="clear" w:color="auto" w:fill="auto"/>
            <w:noWrap/>
            <w:vAlign w:val="bottom"/>
          </w:tcPr>
          <w:p w14:paraId="7BED6A8D" w14:textId="77777777" w:rsidR="00F70E20" w:rsidRPr="00CB425F" w:rsidRDefault="00F70E20" w:rsidP="0099770F">
            <w:pPr>
              <w:jc w:val="center"/>
              <w:rPr>
                <w:color w:val="000000"/>
              </w:rPr>
            </w:pPr>
            <w:r w:rsidRPr="00CB425F">
              <w:rPr>
                <w:color w:val="000000"/>
              </w:rPr>
              <w:t>(0.942)</w:t>
            </w:r>
          </w:p>
        </w:tc>
      </w:tr>
      <w:tr w:rsidR="00F70E20" w:rsidRPr="00A65CFF" w14:paraId="06C50FFB" w14:textId="77777777" w:rsidTr="00F70E20">
        <w:trPr>
          <w:trHeight w:val="290"/>
        </w:trPr>
        <w:tc>
          <w:tcPr>
            <w:tcW w:w="2410" w:type="dxa"/>
            <w:vMerge w:val="restart"/>
            <w:tcBorders>
              <w:top w:val="nil"/>
              <w:left w:val="nil"/>
              <w:right w:val="nil"/>
            </w:tcBorders>
            <w:shd w:val="clear" w:color="auto" w:fill="auto"/>
            <w:noWrap/>
            <w:vAlign w:val="center"/>
            <w:hideMark/>
          </w:tcPr>
          <w:p w14:paraId="32699A77" w14:textId="77777777" w:rsidR="00F70E20" w:rsidRPr="00CB425F" w:rsidRDefault="00F70E20" w:rsidP="0099770F">
            <w:pPr>
              <w:jc w:val="right"/>
              <w:rPr>
                <w:i/>
                <w:iCs/>
                <w:color w:val="000000"/>
              </w:rPr>
            </w:pPr>
            <w:r w:rsidRPr="00CB425F">
              <w:rPr>
                <w:i/>
                <w:iCs/>
                <w:color w:val="000000"/>
              </w:rPr>
              <w:t>Internet services &amp; infrastructure</w:t>
            </w:r>
          </w:p>
        </w:tc>
        <w:tc>
          <w:tcPr>
            <w:tcW w:w="1056" w:type="dxa"/>
            <w:tcBorders>
              <w:top w:val="nil"/>
              <w:left w:val="nil"/>
              <w:bottom w:val="nil"/>
              <w:right w:val="nil"/>
            </w:tcBorders>
            <w:shd w:val="clear" w:color="auto" w:fill="auto"/>
            <w:noWrap/>
            <w:vAlign w:val="bottom"/>
          </w:tcPr>
          <w:p w14:paraId="18579F0D" w14:textId="77777777" w:rsidR="00F70E20" w:rsidRPr="00CB425F" w:rsidRDefault="00F70E20" w:rsidP="0099770F">
            <w:pPr>
              <w:jc w:val="center"/>
              <w:rPr>
                <w:color w:val="000000"/>
              </w:rPr>
            </w:pPr>
            <w:r w:rsidRPr="00CB425F">
              <w:rPr>
                <w:color w:val="000000"/>
              </w:rPr>
              <w:t>0.269</w:t>
            </w:r>
          </w:p>
        </w:tc>
        <w:tc>
          <w:tcPr>
            <w:tcW w:w="1056" w:type="dxa"/>
            <w:tcBorders>
              <w:top w:val="nil"/>
              <w:left w:val="nil"/>
              <w:bottom w:val="nil"/>
              <w:right w:val="nil"/>
            </w:tcBorders>
            <w:shd w:val="clear" w:color="auto" w:fill="auto"/>
            <w:noWrap/>
            <w:vAlign w:val="bottom"/>
          </w:tcPr>
          <w:p w14:paraId="747D64B3" w14:textId="77777777" w:rsidR="00F70E20" w:rsidRPr="00CB425F" w:rsidRDefault="00F70E20" w:rsidP="0099770F">
            <w:pPr>
              <w:jc w:val="center"/>
              <w:rPr>
                <w:color w:val="000000"/>
              </w:rPr>
            </w:pPr>
            <w:r w:rsidRPr="00CB425F">
              <w:rPr>
                <w:color w:val="000000"/>
              </w:rPr>
              <w:t>0.242</w:t>
            </w:r>
          </w:p>
        </w:tc>
        <w:tc>
          <w:tcPr>
            <w:tcW w:w="1056" w:type="dxa"/>
            <w:tcBorders>
              <w:top w:val="nil"/>
              <w:left w:val="nil"/>
              <w:bottom w:val="nil"/>
              <w:right w:val="nil"/>
            </w:tcBorders>
            <w:shd w:val="clear" w:color="auto" w:fill="auto"/>
            <w:noWrap/>
            <w:vAlign w:val="bottom"/>
          </w:tcPr>
          <w:p w14:paraId="098D22F6" w14:textId="77777777" w:rsidR="00F70E20" w:rsidRPr="00CB425F" w:rsidRDefault="00F70E20" w:rsidP="0099770F">
            <w:pPr>
              <w:jc w:val="center"/>
              <w:rPr>
                <w:color w:val="000000"/>
              </w:rPr>
            </w:pPr>
            <w:r w:rsidRPr="00CB425F">
              <w:rPr>
                <w:color w:val="000000"/>
              </w:rPr>
              <w:t>0.255</w:t>
            </w:r>
          </w:p>
        </w:tc>
        <w:tc>
          <w:tcPr>
            <w:tcW w:w="1056" w:type="dxa"/>
            <w:tcBorders>
              <w:top w:val="nil"/>
              <w:left w:val="nil"/>
              <w:bottom w:val="nil"/>
              <w:right w:val="nil"/>
            </w:tcBorders>
            <w:shd w:val="clear" w:color="auto" w:fill="auto"/>
            <w:noWrap/>
            <w:vAlign w:val="bottom"/>
          </w:tcPr>
          <w:p w14:paraId="0682FBA1" w14:textId="77777777" w:rsidR="00F70E20" w:rsidRPr="00CB425F" w:rsidRDefault="00F70E20" w:rsidP="0099770F">
            <w:pPr>
              <w:jc w:val="center"/>
              <w:rPr>
                <w:color w:val="000000"/>
              </w:rPr>
            </w:pPr>
            <w:r w:rsidRPr="00CB425F">
              <w:rPr>
                <w:color w:val="000000"/>
              </w:rPr>
              <w:t>0.219</w:t>
            </w:r>
          </w:p>
        </w:tc>
        <w:tc>
          <w:tcPr>
            <w:tcW w:w="1056" w:type="dxa"/>
            <w:tcBorders>
              <w:top w:val="nil"/>
              <w:left w:val="nil"/>
              <w:bottom w:val="nil"/>
              <w:right w:val="nil"/>
            </w:tcBorders>
            <w:shd w:val="clear" w:color="auto" w:fill="auto"/>
            <w:noWrap/>
            <w:vAlign w:val="bottom"/>
          </w:tcPr>
          <w:p w14:paraId="69FC152B" w14:textId="77777777" w:rsidR="00F70E20" w:rsidRPr="00CB425F" w:rsidRDefault="00F70E20" w:rsidP="0099770F">
            <w:pPr>
              <w:jc w:val="center"/>
              <w:rPr>
                <w:color w:val="000000"/>
              </w:rPr>
            </w:pPr>
            <w:r w:rsidRPr="00CB425F">
              <w:rPr>
                <w:color w:val="000000"/>
              </w:rPr>
              <w:t>0.204</w:t>
            </w:r>
          </w:p>
        </w:tc>
      </w:tr>
      <w:tr w:rsidR="00F70E20" w:rsidRPr="00A65CFF" w14:paraId="4FAEE20B" w14:textId="77777777" w:rsidTr="00F70E20">
        <w:trPr>
          <w:trHeight w:val="290"/>
        </w:trPr>
        <w:tc>
          <w:tcPr>
            <w:tcW w:w="2410" w:type="dxa"/>
            <w:vMerge/>
            <w:tcBorders>
              <w:left w:val="nil"/>
              <w:bottom w:val="nil"/>
              <w:right w:val="nil"/>
            </w:tcBorders>
            <w:shd w:val="clear" w:color="auto" w:fill="auto"/>
            <w:noWrap/>
            <w:vAlign w:val="center"/>
            <w:hideMark/>
          </w:tcPr>
          <w:p w14:paraId="5102BF3D" w14:textId="77777777" w:rsidR="00F70E20" w:rsidRPr="00CB425F" w:rsidRDefault="00F70E20" w:rsidP="0099770F">
            <w:pPr>
              <w:jc w:val="right"/>
              <w:rPr>
                <w:color w:val="000000"/>
              </w:rPr>
            </w:pPr>
          </w:p>
        </w:tc>
        <w:tc>
          <w:tcPr>
            <w:tcW w:w="1056" w:type="dxa"/>
            <w:tcBorders>
              <w:top w:val="nil"/>
              <w:left w:val="nil"/>
              <w:bottom w:val="nil"/>
              <w:right w:val="nil"/>
            </w:tcBorders>
            <w:shd w:val="clear" w:color="auto" w:fill="auto"/>
            <w:noWrap/>
            <w:vAlign w:val="bottom"/>
          </w:tcPr>
          <w:p w14:paraId="716F63B2" w14:textId="77777777" w:rsidR="00F70E20" w:rsidRPr="00CB425F" w:rsidRDefault="00F70E20" w:rsidP="0099770F">
            <w:pPr>
              <w:jc w:val="center"/>
              <w:rPr>
                <w:color w:val="000000"/>
              </w:rPr>
            </w:pPr>
            <w:r w:rsidRPr="00CB425F">
              <w:rPr>
                <w:color w:val="000000"/>
              </w:rPr>
              <w:t>(0.000)</w:t>
            </w:r>
          </w:p>
        </w:tc>
        <w:tc>
          <w:tcPr>
            <w:tcW w:w="1056" w:type="dxa"/>
            <w:tcBorders>
              <w:top w:val="nil"/>
              <w:left w:val="nil"/>
              <w:bottom w:val="nil"/>
              <w:right w:val="nil"/>
            </w:tcBorders>
            <w:shd w:val="clear" w:color="auto" w:fill="auto"/>
            <w:noWrap/>
            <w:vAlign w:val="bottom"/>
          </w:tcPr>
          <w:p w14:paraId="59508A04" w14:textId="77777777" w:rsidR="00F70E20" w:rsidRPr="00CB425F" w:rsidRDefault="00F70E20" w:rsidP="0099770F">
            <w:pPr>
              <w:jc w:val="center"/>
              <w:rPr>
                <w:color w:val="000000"/>
              </w:rPr>
            </w:pPr>
            <w:r w:rsidRPr="00CB425F">
              <w:rPr>
                <w:color w:val="000000"/>
              </w:rPr>
              <w:t>(0.001)</w:t>
            </w:r>
          </w:p>
        </w:tc>
        <w:tc>
          <w:tcPr>
            <w:tcW w:w="1056" w:type="dxa"/>
            <w:tcBorders>
              <w:top w:val="nil"/>
              <w:left w:val="nil"/>
              <w:bottom w:val="nil"/>
              <w:right w:val="nil"/>
            </w:tcBorders>
            <w:shd w:val="clear" w:color="auto" w:fill="auto"/>
            <w:noWrap/>
            <w:vAlign w:val="bottom"/>
          </w:tcPr>
          <w:p w14:paraId="01CB9A17" w14:textId="77777777" w:rsidR="00F70E20" w:rsidRPr="00CB425F" w:rsidRDefault="00F70E20" w:rsidP="0099770F">
            <w:pPr>
              <w:jc w:val="center"/>
              <w:rPr>
                <w:color w:val="000000"/>
              </w:rPr>
            </w:pPr>
            <w:r w:rsidRPr="00CB425F">
              <w:rPr>
                <w:color w:val="000000"/>
              </w:rPr>
              <w:t>(0.000)</w:t>
            </w:r>
          </w:p>
        </w:tc>
        <w:tc>
          <w:tcPr>
            <w:tcW w:w="1056" w:type="dxa"/>
            <w:tcBorders>
              <w:top w:val="nil"/>
              <w:left w:val="nil"/>
              <w:bottom w:val="nil"/>
              <w:right w:val="nil"/>
            </w:tcBorders>
            <w:shd w:val="clear" w:color="auto" w:fill="auto"/>
            <w:noWrap/>
            <w:vAlign w:val="bottom"/>
          </w:tcPr>
          <w:p w14:paraId="7AE327A3" w14:textId="77777777" w:rsidR="00F70E20" w:rsidRPr="00CB425F" w:rsidRDefault="00F70E20" w:rsidP="0099770F">
            <w:pPr>
              <w:jc w:val="center"/>
              <w:rPr>
                <w:color w:val="000000"/>
              </w:rPr>
            </w:pPr>
            <w:r w:rsidRPr="00CB425F">
              <w:rPr>
                <w:color w:val="000000"/>
              </w:rPr>
              <w:t>(0.002)</w:t>
            </w:r>
          </w:p>
        </w:tc>
        <w:tc>
          <w:tcPr>
            <w:tcW w:w="1056" w:type="dxa"/>
            <w:tcBorders>
              <w:top w:val="nil"/>
              <w:left w:val="nil"/>
              <w:bottom w:val="nil"/>
              <w:right w:val="nil"/>
            </w:tcBorders>
            <w:shd w:val="clear" w:color="auto" w:fill="auto"/>
            <w:noWrap/>
            <w:vAlign w:val="bottom"/>
          </w:tcPr>
          <w:p w14:paraId="77749CC3" w14:textId="77777777" w:rsidR="00F70E20" w:rsidRPr="00CB425F" w:rsidRDefault="00F70E20" w:rsidP="0099770F">
            <w:pPr>
              <w:jc w:val="center"/>
              <w:rPr>
                <w:color w:val="000000"/>
              </w:rPr>
            </w:pPr>
            <w:r w:rsidRPr="00CB425F">
              <w:rPr>
                <w:color w:val="000000"/>
              </w:rPr>
              <w:t>(0.003)</w:t>
            </w:r>
          </w:p>
        </w:tc>
      </w:tr>
      <w:tr w:rsidR="00F70E20" w:rsidRPr="00A65CFF" w14:paraId="599D45C9" w14:textId="77777777" w:rsidTr="00F70E20">
        <w:trPr>
          <w:trHeight w:val="290"/>
        </w:trPr>
        <w:tc>
          <w:tcPr>
            <w:tcW w:w="2410" w:type="dxa"/>
            <w:vMerge w:val="restart"/>
            <w:tcBorders>
              <w:top w:val="nil"/>
              <w:left w:val="nil"/>
              <w:right w:val="nil"/>
            </w:tcBorders>
            <w:shd w:val="clear" w:color="auto" w:fill="auto"/>
            <w:noWrap/>
            <w:vAlign w:val="center"/>
            <w:hideMark/>
          </w:tcPr>
          <w:p w14:paraId="0322ADEC" w14:textId="77777777" w:rsidR="00F70E20" w:rsidRPr="00CB425F" w:rsidRDefault="00F70E20" w:rsidP="0099770F">
            <w:pPr>
              <w:rPr>
                <w:color w:val="000000"/>
              </w:rPr>
            </w:pPr>
            <w:r w:rsidRPr="00CB425F">
              <w:rPr>
                <w:color w:val="000000"/>
              </w:rPr>
              <w:t>Gross margin</w:t>
            </w:r>
          </w:p>
        </w:tc>
        <w:tc>
          <w:tcPr>
            <w:tcW w:w="1056" w:type="dxa"/>
            <w:tcBorders>
              <w:top w:val="nil"/>
              <w:left w:val="nil"/>
              <w:bottom w:val="nil"/>
              <w:right w:val="nil"/>
            </w:tcBorders>
            <w:shd w:val="clear" w:color="auto" w:fill="auto"/>
            <w:noWrap/>
            <w:vAlign w:val="bottom"/>
          </w:tcPr>
          <w:p w14:paraId="6476D5C1" w14:textId="77777777" w:rsidR="00F70E20" w:rsidRPr="00CB425F" w:rsidRDefault="00F70E20" w:rsidP="0099770F">
            <w:pPr>
              <w:jc w:val="center"/>
              <w:rPr>
                <w:color w:val="000000"/>
              </w:rPr>
            </w:pPr>
          </w:p>
        </w:tc>
        <w:tc>
          <w:tcPr>
            <w:tcW w:w="1056" w:type="dxa"/>
            <w:tcBorders>
              <w:top w:val="nil"/>
              <w:left w:val="nil"/>
              <w:bottom w:val="nil"/>
              <w:right w:val="nil"/>
            </w:tcBorders>
            <w:shd w:val="clear" w:color="auto" w:fill="auto"/>
            <w:noWrap/>
            <w:vAlign w:val="bottom"/>
          </w:tcPr>
          <w:p w14:paraId="3DF32E99" w14:textId="77777777" w:rsidR="00F70E20" w:rsidRPr="00CB425F" w:rsidRDefault="00F70E20" w:rsidP="0099770F">
            <w:pPr>
              <w:jc w:val="center"/>
              <w:rPr>
                <w:color w:val="000000"/>
              </w:rPr>
            </w:pPr>
            <w:r w:rsidRPr="00CB425F">
              <w:rPr>
                <w:color w:val="000000"/>
              </w:rPr>
              <w:t>0.155</w:t>
            </w:r>
          </w:p>
        </w:tc>
        <w:tc>
          <w:tcPr>
            <w:tcW w:w="1056" w:type="dxa"/>
            <w:tcBorders>
              <w:top w:val="nil"/>
              <w:left w:val="nil"/>
              <w:bottom w:val="nil"/>
              <w:right w:val="nil"/>
            </w:tcBorders>
            <w:shd w:val="clear" w:color="auto" w:fill="auto"/>
            <w:noWrap/>
            <w:vAlign w:val="bottom"/>
          </w:tcPr>
          <w:p w14:paraId="354F7A20" w14:textId="77777777" w:rsidR="00F70E20" w:rsidRPr="00CB425F" w:rsidRDefault="00F70E20" w:rsidP="0099770F">
            <w:pPr>
              <w:jc w:val="center"/>
              <w:rPr>
                <w:color w:val="000000"/>
              </w:rPr>
            </w:pPr>
          </w:p>
        </w:tc>
        <w:tc>
          <w:tcPr>
            <w:tcW w:w="1056" w:type="dxa"/>
            <w:tcBorders>
              <w:top w:val="nil"/>
              <w:left w:val="nil"/>
              <w:bottom w:val="nil"/>
              <w:right w:val="nil"/>
            </w:tcBorders>
            <w:shd w:val="clear" w:color="auto" w:fill="auto"/>
            <w:noWrap/>
            <w:vAlign w:val="bottom"/>
          </w:tcPr>
          <w:p w14:paraId="450CEF99" w14:textId="77777777" w:rsidR="00F70E20" w:rsidRPr="00CB425F" w:rsidRDefault="00F70E20" w:rsidP="0099770F">
            <w:pPr>
              <w:jc w:val="center"/>
              <w:rPr>
                <w:color w:val="000000"/>
              </w:rPr>
            </w:pPr>
            <w:r w:rsidRPr="00CB425F">
              <w:rPr>
                <w:color w:val="000000"/>
              </w:rPr>
              <w:t>0.194</w:t>
            </w:r>
          </w:p>
        </w:tc>
        <w:tc>
          <w:tcPr>
            <w:tcW w:w="1056" w:type="dxa"/>
            <w:tcBorders>
              <w:top w:val="nil"/>
              <w:left w:val="nil"/>
              <w:bottom w:val="nil"/>
              <w:right w:val="nil"/>
            </w:tcBorders>
            <w:shd w:val="clear" w:color="auto" w:fill="auto"/>
            <w:noWrap/>
            <w:vAlign w:val="bottom"/>
          </w:tcPr>
          <w:p w14:paraId="1C508F7C" w14:textId="77777777" w:rsidR="00F70E20" w:rsidRPr="00CB425F" w:rsidRDefault="00F70E20" w:rsidP="0099770F">
            <w:pPr>
              <w:jc w:val="center"/>
            </w:pPr>
            <w:r w:rsidRPr="00CB425F">
              <w:rPr>
                <w:color w:val="000000"/>
              </w:rPr>
              <w:t>0.319</w:t>
            </w:r>
          </w:p>
        </w:tc>
      </w:tr>
      <w:tr w:rsidR="00F70E20" w:rsidRPr="00A65CFF" w14:paraId="1633E2E4" w14:textId="77777777" w:rsidTr="00F70E20">
        <w:trPr>
          <w:trHeight w:val="290"/>
        </w:trPr>
        <w:tc>
          <w:tcPr>
            <w:tcW w:w="2410" w:type="dxa"/>
            <w:vMerge/>
            <w:tcBorders>
              <w:left w:val="nil"/>
              <w:bottom w:val="nil"/>
              <w:right w:val="nil"/>
            </w:tcBorders>
            <w:shd w:val="clear" w:color="auto" w:fill="auto"/>
            <w:noWrap/>
            <w:vAlign w:val="center"/>
            <w:hideMark/>
          </w:tcPr>
          <w:p w14:paraId="018B23A3" w14:textId="77777777" w:rsidR="00F70E20" w:rsidRPr="00CB425F" w:rsidRDefault="00F70E20" w:rsidP="0099770F"/>
        </w:tc>
        <w:tc>
          <w:tcPr>
            <w:tcW w:w="1056" w:type="dxa"/>
            <w:tcBorders>
              <w:top w:val="nil"/>
              <w:left w:val="nil"/>
              <w:bottom w:val="nil"/>
              <w:right w:val="nil"/>
            </w:tcBorders>
            <w:shd w:val="clear" w:color="auto" w:fill="auto"/>
            <w:noWrap/>
            <w:vAlign w:val="bottom"/>
          </w:tcPr>
          <w:p w14:paraId="51E2E21B" w14:textId="77777777" w:rsidR="00F70E20" w:rsidRPr="00CB425F" w:rsidRDefault="00F70E20" w:rsidP="0099770F">
            <w:pPr>
              <w:jc w:val="center"/>
              <w:rPr>
                <w:color w:val="000000"/>
              </w:rPr>
            </w:pPr>
          </w:p>
        </w:tc>
        <w:tc>
          <w:tcPr>
            <w:tcW w:w="1056" w:type="dxa"/>
            <w:tcBorders>
              <w:top w:val="nil"/>
              <w:left w:val="nil"/>
              <w:bottom w:val="nil"/>
              <w:right w:val="nil"/>
            </w:tcBorders>
            <w:shd w:val="clear" w:color="auto" w:fill="auto"/>
            <w:noWrap/>
            <w:vAlign w:val="bottom"/>
          </w:tcPr>
          <w:p w14:paraId="08090100" w14:textId="77777777" w:rsidR="00F70E20" w:rsidRPr="00CB425F" w:rsidRDefault="00F70E20" w:rsidP="0099770F">
            <w:pPr>
              <w:jc w:val="center"/>
              <w:rPr>
                <w:color w:val="000000"/>
              </w:rPr>
            </w:pPr>
            <w:r w:rsidRPr="00CB425F">
              <w:rPr>
                <w:color w:val="000000"/>
              </w:rPr>
              <w:t>(0.053)</w:t>
            </w:r>
          </w:p>
        </w:tc>
        <w:tc>
          <w:tcPr>
            <w:tcW w:w="1056" w:type="dxa"/>
            <w:tcBorders>
              <w:top w:val="nil"/>
              <w:left w:val="nil"/>
              <w:bottom w:val="nil"/>
              <w:right w:val="nil"/>
            </w:tcBorders>
            <w:shd w:val="clear" w:color="auto" w:fill="auto"/>
            <w:noWrap/>
            <w:vAlign w:val="bottom"/>
          </w:tcPr>
          <w:p w14:paraId="5C781E1C" w14:textId="77777777" w:rsidR="00F70E20" w:rsidRPr="00CB425F" w:rsidRDefault="00F70E20" w:rsidP="0099770F">
            <w:pPr>
              <w:jc w:val="center"/>
              <w:rPr>
                <w:color w:val="000000"/>
              </w:rPr>
            </w:pPr>
          </w:p>
        </w:tc>
        <w:tc>
          <w:tcPr>
            <w:tcW w:w="1056" w:type="dxa"/>
            <w:tcBorders>
              <w:top w:val="nil"/>
              <w:left w:val="nil"/>
              <w:bottom w:val="nil"/>
              <w:right w:val="nil"/>
            </w:tcBorders>
            <w:shd w:val="clear" w:color="auto" w:fill="auto"/>
            <w:noWrap/>
            <w:vAlign w:val="bottom"/>
          </w:tcPr>
          <w:p w14:paraId="07281275" w14:textId="77777777" w:rsidR="00F70E20" w:rsidRPr="00CB425F" w:rsidRDefault="00F70E20" w:rsidP="0099770F">
            <w:pPr>
              <w:jc w:val="center"/>
              <w:rPr>
                <w:color w:val="000000"/>
              </w:rPr>
            </w:pPr>
            <w:r w:rsidRPr="00CB425F">
              <w:rPr>
                <w:color w:val="000000"/>
              </w:rPr>
              <w:t>(0.016)</w:t>
            </w:r>
          </w:p>
        </w:tc>
        <w:tc>
          <w:tcPr>
            <w:tcW w:w="1056" w:type="dxa"/>
            <w:tcBorders>
              <w:top w:val="nil"/>
              <w:left w:val="nil"/>
              <w:bottom w:val="nil"/>
              <w:right w:val="nil"/>
            </w:tcBorders>
            <w:shd w:val="clear" w:color="auto" w:fill="auto"/>
            <w:noWrap/>
            <w:vAlign w:val="bottom"/>
          </w:tcPr>
          <w:p w14:paraId="2758D6C4" w14:textId="77777777" w:rsidR="00F70E20" w:rsidRPr="00CB425F" w:rsidRDefault="00F70E20" w:rsidP="0099770F">
            <w:pPr>
              <w:jc w:val="center"/>
            </w:pPr>
            <w:r w:rsidRPr="00CB425F">
              <w:rPr>
                <w:color w:val="000000"/>
              </w:rPr>
              <w:t>(0.002)</w:t>
            </w:r>
          </w:p>
        </w:tc>
      </w:tr>
      <w:tr w:rsidR="00F70E20" w:rsidRPr="00A65CFF" w14:paraId="1E7721FF" w14:textId="77777777" w:rsidTr="00F70E20">
        <w:trPr>
          <w:trHeight w:val="290"/>
        </w:trPr>
        <w:tc>
          <w:tcPr>
            <w:tcW w:w="2410" w:type="dxa"/>
            <w:vMerge w:val="restart"/>
            <w:tcBorders>
              <w:top w:val="nil"/>
              <w:left w:val="nil"/>
              <w:right w:val="nil"/>
            </w:tcBorders>
            <w:shd w:val="clear" w:color="auto" w:fill="auto"/>
            <w:noWrap/>
            <w:vAlign w:val="center"/>
            <w:hideMark/>
          </w:tcPr>
          <w:p w14:paraId="5F93F574" w14:textId="77777777" w:rsidR="00F70E20" w:rsidRPr="00CB425F" w:rsidRDefault="00F70E20" w:rsidP="0099770F">
            <w:pPr>
              <w:rPr>
                <w:color w:val="000000"/>
              </w:rPr>
            </w:pPr>
            <w:r w:rsidRPr="00CB425F">
              <w:rPr>
                <w:color w:val="000000"/>
              </w:rPr>
              <w:t>B2C</w:t>
            </w:r>
          </w:p>
        </w:tc>
        <w:tc>
          <w:tcPr>
            <w:tcW w:w="1056" w:type="dxa"/>
            <w:tcBorders>
              <w:top w:val="nil"/>
              <w:left w:val="nil"/>
              <w:bottom w:val="nil"/>
              <w:right w:val="nil"/>
            </w:tcBorders>
            <w:shd w:val="clear" w:color="auto" w:fill="auto"/>
            <w:noWrap/>
            <w:vAlign w:val="bottom"/>
          </w:tcPr>
          <w:p w14:paraId="4A3C5EEC" w14:textId="77777777" w:rsidR="00F70E20" w:rsidRPr="00CB425F" w:rsidRDefault="00F70E20" w:rsidP="0099770F">
            <w:pPr>
              <w:jc w:val="center"/>
              <w:rPr>
                <w:color w:val="000000"/>
              </w:rPr>
            </w:pPr>
          </w:p>
        </w:tc>
        <w:tc>
          <w:tcPr>
            <w:tcW w:w="1056" w:type="dxa"/>
            <w:tcBorders>
              <w:top w:val="nil"/>
              <w:left w:val="nil"/>
              <w:bottom w:val="nil"/>
              <w:right w:val="nil"/>
            </w:tcBorders>
            <w:shd w:val="clear" w:color="auto" w:fill="auto"/>
            <w:noWrap/>
            <w:vAlign w:val="bottom"/>
          </w:tcPr>
          <w:p w14:paraId="09126046" w14:textId="77777777" w:rsidR="00F70E20" w:rsidRPr="00CB425F" w:rsidRDefault="00F70E20" w:rsidP="0099770F">
            <w:pPr>
              <w:jc w:val="center"/>
              <w:rPr>
                <w:color w:val="000000"/>
              </w:rPr>
            </w:pPr>
          </w:p>
        </w:tc>
        <w:tc>
          <w:tcPr>
            <w:tcW w:w="1056" w:type="dxa"/>
            <w:tcBorders>
              <w:top w:val="nil"/>
              <w:left w:val="nil"/>
              <w:bottom w:val="nil"/>
              <w:right w:val="nil"/>
            </w:tcBorders>
            <w:shd w:val="clear" w:color="auto" w:fill="auto"/>
            <w:noWrap/>
            <w:vAlign w:val="bottom"/>
          </w:tcPr>
          <w:p w14:paraId="21041D6C" w14:textId="77777777" w:rsidR="00F70E20" w:rsidRPr="00CB425F" w:rsidRDefault="00F70E20" w:rsidP="0099770F">
            <w:pPr>
              <w:jc w:val="center"/>
              <w:rPr>
                <w:color w:val="000000"/>
              </w:rPr>
            </w:pPr>
            <w:r w:rsidRPr="00CB425F">
              <w:rPr>
                <w:color w:val="000000"/>
              </w:rPr>
              <w:t>-0.141</w:t>
            </w:r>
          </w:p>
        </w:tc>
        <w:tc>
          <w:tcPr>
            <w:tcW w:w="1056" w:type="dxa"/>
            <w:tcBorders>
              <w:top w:val="nil"/>
              <w:left w:val="nil"/>
              <w:bottom w:val="nil"/>
              <w:right w:val="nil"/>
            </w:tcBorders>
            <w:shd w:val="clear" w:color="auto" w:fill="auto"/>
            <w:noWrap/>
            <w:vAlign w:val="bottom"/>
          </w:tcPr>
          <w:p w14:paraId="35E9705B" w14:textId="77777777" w:rsidR="00F70E20" w:rsidRPr="00CB425F" w:rsidRDefault="00F70E20" w:rsidP="0099770F">
            <w:pPr>
              <w:jc w:val="center"/>
              <w:rPr>
                <w:color w:val="000000"/>
              </w:rPr>
            </w:pPr>
            <w:r w:rsidRPr="00CB425F">
              <w:rPr>
                <w:color w:val="000000"/>
              </w:rPr>
              <w:t>-0.155</w:t>
            </w:r>
          </w:p>
        </w:tc>
        <w:tc>
          <w:tcPr>
            <w:tcW w:w="1056" w:type="dxa"/>
            <w:tcBorders>
              <w:top w:val="nil"/>
              <w:left w:val="nil"/>
              <w:bottom w:val="nil"/>
              <w:right w:val="nil"/>
            </w:tcBorders>
            <w:shd w:val="clear" w:color="auto" w:fill="auto"/>
            <w:noWrap/>
            <w:vAlign w:val="bottom"/>
          </w:tcPr>
          <w:p w14:paraId="57882EC5" w14:textId="77777777" w:rsidR="00F70E20" w:rsidRPr="00CB425F" w:rsidRDefault="00F70E20" w:rsidP="0099770F">
            <w:pPr>
              <w:jc w:val="center"/>
            </w:pPr>
            <w:r w:rsidRPr="00CB425F">
              <w:rPr>
                <w:color w:val="000000"/>
              </w:rPr>
              <w:t>-0.232</w:t>
            </w:r>
          </w:p>
        </w:tc>
      </w:tr>
      <w:tr w:rsidR="00F70E20" w:rsidRPr="00A65CFF" w14:paraId="37998218" w14:textId="77777777" w:rsidTr="00F70E20">
        <w:trPr>
          <w:trHeight w:val="290"/>
        </w:trPr>
        <w:tc>
          <w:tcPr>
            <w:tcW w:w="2410" w:type="dxa"/>
            <w:vMerge/>
            <w:tcBorders>
              <w:left w:val="nil"/>
              <w:bottom w:val="nil"/>
              <w:right w:val="nil"/>
            </w:tcBorders>
            <w:shd w:val="clear" w:color="auto" w:fill="auto"/>
            <w:noWrap/>
            <w:vAlign w:val="center"/>
            <w:hideMark/>
          </w:tcPr>
          <w:p w14:paraId="5B5FF2BA" w14:textId="77777777" w:rsidR="00F70E20" w:rsidRPr="00CB425F" w:rsidRDefault="00F70E20" w:rsidP="0099770F"/>
        </w:tc>
        <w:tc>
          <w:tcPr>
            <w:tcW w:w="1056" w:type="dxa"/>
            <w:tcBorders>
              <w:top w:val="nil"/>
              <w:left w:val="nil"/>
              <w:bottom w:val="nil"/>
              <w:right w:val="nil"/>
            </w:tcBorders>
            <w:shd w:val="clear" w:color="auto" w:fill="auto"/>
            <w:noWrap/>
            <w:vAlign w:val="bottom"/>
          </w:tcPr>
          <w:p w14:paraId="0AEFA12A" w14:textId="77777777" w:rsidR="00F70E20" w:rsidRPr="00CB425F" w:rsidRDefault="00F70E20" w:rsidP="0099770F">
            <w:pPr>
              <w:jc w:val="center"/>
              <w:rPr>
                <w:color w:val="000000"/>
              </w:rPr>
            </w:pPr>
          </w:p>
        </w:tc>
        <w:tc>
          <w:tcPr>
            <w:tcW w:w="1056" w:type="dxa"/>
            <w:tcBorders>
              <w:top w:val="nil"/>
              <w:left w:val="nil"/>
              <w:bottom w:val="nil"/>
              <w:right w:val="nil"/>
            </w:tcBorders>
            <w:shd w:val="clear" w:color="auto" w:fill="auto"/>
            <w:noWrap/>
            <w:vAlign w:val="bottom"/>
          </w:tcPr>
          <w:p w14:paraId="260688B3" w14:textId="77777777" w:rsidR="00F70E20" w:rsidRPr="00CB425F" w:rsidRDefault="00F70E20" w:rsidP="0099770F">
            <w:pPr>
              <w:jc w:val="center"/>
              <w:rPr>
                <w:color w:val="000000"/>
              </w:rPr>
            </w:pPr>
          </w:p>
        </w:tc>
        <w:tc>
          <w:tcPr>
            <w:tcW w:w="1056" w:type="dxa"/>
            <w:tcBorders>
              <w:top w:val="nil"/>
              <w:left w:val="nil"/>
              <w:bottom w:val="nil"/>
              <w:right w:val="nil"/>
            </w:tcBorders>
            <w:shd w:val="clear" w:color="auto" w:fill="auto"/>
            <w:noWrap/>
            <w:vAlign w:val="bottom"/>
          </w:tcPr>
          <w:p w14:paraId="63B6F698" w14:textId="77777777" w:rsidR="00F70E20" w:rsidRPr="00CB425F" w:rsidRDefault="00F70E20" w:rsidP="0099770F">
            <w:pPr>
              <w:jc w:val="center"/>
              <w:rPr>
                <w:color w:val="000000"/>
              </w:rPr>
            </w:pPr>
            <w:r w:rsidRPr="00CB425F">
              <w:rPr>
                <w:color w:val="000000"/>
              </w:rPr>
              <w:t>(0.004)</w:t>
            </w:r>
          </w:p>
        </w:tc>
        <w:tc>
          <w:tcPr>
            <w:tcW w:w="1056" w:type="dxa"/>
            <w:tcBorders>
              <w:top w:val="nil"/>
              <w:left w:val="nil"/>
              <w:bottom w:val="nil"/>
              <w:right w:val="nil"/>
            </w:tcBorders>
            <w:shd w:val="clear" w:color="auto" w:fill="auto"/>
            <w:noWrap/>
            <w:vAlign w:val="bottom"/>
          </w:tcPr>
          <w:p w14:paraId="7D1F0E91" w14:textId="77777777" w:rsidR="00F70E20" w:rsidRPr="00CB425F" w:rsidRDefault="00F70E20" w:rsidP="0099770F">
            <w:pPr>
              <w:jc w:val="center"/>
              <w:rPr>
                <w:color w:val="000000"/>
              </w:rPr>
            </w:pPr>
            <w:r w:rsidRPr="00CB425F">
              <w:rPr>
                <w:color w:val="000000"/>
              </w:rPr>
              <w:t>(0.001)</w:t>
            </w:r>
          </w:p>
        </w:tc>
        <w:tc>
          <w:tcPr>
            <w:tcW w:w="1056" w:type="dxa"/>
            <w:tcBorders>
              <w:top w:val="nil"/>
              <w:left w:val="nil"/>
              <w:bottom w:val="nil"/>
              <w:right w:val="nil"/>
            </w:tcBorders>
            <w:shd w:val="clear" w:color="auto" w:fill="auto"/>
            <w:noWrap/>
            <w:vAlign w:val="bottom"/>
          </w:tcPr>
          <w:p w14:paraId="2B7EB95A" w14:textId="77777777" w:rsidR="00F70E20" w:rsidRPr="00CB425F" w:rsidRDefault="00F70E20" w:rsidP="0099770F">
            <w:pPr>
              <w:jc w:val="center"/>
            </w:pPr>
            <w:r w:rsidRPr="00CB425F">
              <w:rPr>
                <w:color w:val="000000"/>
              </w:rPr>
              <w:t>(0.000)</w:t>
            </w:r>
          </w:p>
        </w:tc>
      </w:tr>
      <w:tr w:rsidR="00F70E20" w:rsidRPr="00A65CFF" w14:paraId="0F60CA56" w14:textId="77777777" w:rsidTr="00F70E20">
        <w:trPr>
          <w:trHeight w:val="290"/>
        </w:trPr>
        <w:tc>
          <w:tcPr>
            <w:tcW w:w="2410" w:type="dxa"/>
            <w:vMerge w:val="restart"/>
            <w:tcBorders>
              <w:top w:val="nil"/>
              <w:left w:val="nil"/>
              <w:right w:val="nil"/>
            </w:tcBorders>
            <w:shd w:val="clear" w:color="auto" w:fill="auto"/>
            <w:noWrap/>
            <w:vAlign w:val="center"/>
            <w:hideMark/>
          </w:tcPr>
          <w:p w14:paraId="1720A8BD" w14:textId="77777777" w:rsidR="00F70E20" w:rsidRPr="00CB425F" w:rsidRDefault="00F70E20" w:rsidP="0099770F">
            <w:pPr>
              <w:rPr>
                <w:color w:val="000000"/>
              </w:rPr>
            </w:pPr>
            <w:r w:rsidRPr="00CB425F">
              <w:rPr>
                <w:color w:val="000000"/>
              </w:rPr>
              <w:t>Acquisitions*B2C</w:t>
            </w:r>
          </w:p>
        </w:tc>
        <w:tc>
          <w:tcPr>
            <w:tcW w:w="1056" w:type="dxa"/>
            <w:tcBorders>
              <w:top w:val="nil"/>
              <w:left w:val="nil"/>
              <w:bottom w:val="nil"/>
              <w:right w:val="nil"/>
            </w:tcBorders>
            <w:shd w:val="clear" w:color="auto" w:fill="auto"/>
            <w:noWrap/>
            <w:vAlign w:val="bottom"/>
          </w:tcPr>
          <w:p w14:paraId="5AF62237" w14:textId="77777777" w:rsidR="00F70E20" w:rsidRPr="00CB425F" w:rsidRDefault="00F70E20" w:rsidP="0099770F">
            <w:pPr>
              <w:jc w:val="center"/>
              <w:rPr>
                <w:color w:val="000000"/>
              </w:rPr>
            </w:pPr>
          </w:p>
        </w:tc>
        <w:tc>
          <w:tcPr>
            <w:tcW w:w="1056" w:type="dxa"/>
            <w:tcBorders>
              <w:top w:val="nil"/>
              <w:left w:val="nil"/>
              <w:bottom w:val="nil"/>
              <w:right w:val="nil"/>
            </w:tcBorders>
            <w:shd w:val="clear" w:color="auto" w:fill="auto"/>
            <w:noWrap/>
            <w:vAlign w:val="bottom"/>
          </w:tcPr>
          <w:p w14:paraId="2F8B83BB" w14:textId="77777777" w:rsidR="00F70E20" w:rsidRPr="00CB425F" w:rsidRDefault="00F70E20" w:rsidP="0099770F">
            <w:pPr>
              <w:jc w:val="center"/>
              <w:rPr>
                <w:color w:val="000000"/>
              </w:rPr>
            </w:pPr>
          </w:p>
        </w:tc>
        <w:tc>
          <w:tcPr>
            <w:tcW w:w="1056" w:type="dxa"/>
            <w:tcBorders>
              <w:top w:val="nil"/>
              <w:left w:val="nil"/>
              <w:bottom w:val="nil"/>
              <w:right w:val="nil"/>
            </w:tcBorders>
            <w:shd w:val="clear" w:color="auto" w:fill="auto"/>
            <w:noWrap/>
            <w:vAlign w:val="bottom"/>
          </w:tcPr>
          <w:p w14:paraId="1649580E" w14:textId="77777777" w:rsidR="00F70E20" w:rsidRPr="00CB425F" w:rsidRDefault="00F70E20" w:rsidP="0099770F">
            <w:pPr>
              <w:jc w:val="center"/>
            </w:pPr>
          </w:p>
        </w:tc>
        <w:tc>
          <w:tcPr>
            <w:tcW w:w="1056" w:type="dxa"/>
            <w:tcBorders>
              <w:top w:val="nil"/>
              <w:left w:val="nil"/>
              <w:bottom w:val="nil"/>
              <w:right w:val="nil"/>
            </w:tcBorders>
            <w:shd w:val="clear" w:color="auto" w:fill="auto"/>
            <w:noWrap/>
            <w:vAlign w:val="bottom"/>
          </w:tcPr>
          <w:p w14:paraId="16C3D0A1" w14:textId="77777777" w:rsidR="00F70E20" w:rsidRPr="00CB425F" w:rsidRDefault="00F70E20" w:rsidP="0099770F">
            <w:pPr>
              <w:jc w:val="center"/>
            </w:pPr>
          </w:p>
        </w:tc>
        <w:tc>
          <w:tcPr>
            <w:tcW w:w="1056" w:type="dxa"/>
            <w:tcBorders>
              <w:top w:val="nil"/>
              <w:left w:val="nil"/>
              <w:bottom w:val="nil"/>
              <w:right w:val="nil"/>
            </w:tcBorders>
            <w:shd w:val="clear" w:color="auto" w:fill="auto"/>
            <w:noWrap/>
            <w:vAlign w:val="bottom"/>
          </w:tcPr>
          <w:p w14:paraId="71276529" w14:textId="77777777" w:rsidR="00F70E20" w:rsidRPr="00CB425F" w:rsidRDefault="00F70E20" w:rsidP="0099770F">
            <w:pPr>
              <w:jc w:val="center"/>
            </w:pPr>
            <w:r w:rsidRPr="00CB425F">
              <w:rPr>
                <w:color w:val="000000"/>
              </w:rPr>
              <w:t>0.217</w:t>
            </w:r>
          </w:p>
        </w:tc>
      </w:tr>
      <w:tr w:rsidR="00F70E20" w:rsidRPr="00A65CFF" w14:paraId="7D4C380A" w14:textId="77777777" w:rsidTr="00F70E20">
        <w:trPr>
          <w:trHeight w:val="290"/>
        </w:trPr>
        <w:tc>
          <w:tcPr>
            <w:tcW w:w="2410" w:type="dxa"/>
            <w:vMerge/>
            <w:tcBorders>
              <w:left w:val="nil"/>
              <w:bottom w:val="nil"/>
              <w:right w:val="nil"/>
            </w:tcBorders>
            <w:shd w:val="clear" w:color="auto" w:fill="auto"/>
            <w:noWrap/>
            <w:vAlign w:val="center"/>
            <w:hideMark/>
          </w:tcPr>
          <w:p w14:paraId="0F3F0336" w14:textId="77777777" w:rsidR="00F70E20" w:rsidRPr="00CB425F" w:rsidRDefault="00F70E20" w:rsidP="0099770F"/>
        </w:tc>
        <w:tc>
          <w:tcPr>
            <w:tcW w:w="1056" w:type="dxa"/>
            <w:tcBorders>
              <w:top w:val="nil"/>
              <w:left w:val="nil"/>
              <w:bottom w:val="nil"/>
              <w:right w:val="nil"/>
            </w:tcBorders>
            <w:shd w:val="clear" w:color="auto" w:fill="auto"/>
            <w:noWrap/>
            <w:vAlign w:val="bottom"/>
          </w:tcPr>
          <w:p w14:paraId="7F6AEA68" w14:textId="77777777" w:rsidR="00F70E20" w:rsidRPr="00CB425F" w:rsidRDefault="00F70E20" w:rsidP="0099770F">
            <w:pPr>
              <w:jc w:val="center"/>
              <w:rPr>
                <w:color w:val="000000"/>
              </w:rPr>
            </w:pPr>
          </w:p>
        </w:tc>
        <w:tc>
          <w:tcPr>
            <w:tcW w:w="1056" w:type="dxa"/>
            <w:tcBorders>
              <w:top w:val="nil"/>
              <w:left w:val="nil"/>
              <w:bottom w:val="nil"/>
              <w:right w:val="nil"/>
            </w:tcBorders>
            <w:shd w:val="clear" w:color="auto" w:fill="auto"/>
            <w:noWrap/>
            <w:vAlign w:val="bottom"/>
          </w:tcPr>
          <w:p w14:paraId="43AF9609" w14:textId="77777777" w:rsidR="00F70E20" w:rsidRPr="00CB425F" w:rsidRDefault="00F70E20" w:rsidP="0099770F">
            <w:pPr>
              <w:jc w:val="center"/>
              <w:rPr>
                <w:color w:val="000000"/>
              </w:rPr>
            </w:pPr>
          </w:p>
        </w:tc>
        <w:tc>
          <w:tcPr>
            <w:tcW w:w="1056" w:type="dxa"/>
            <w:tcBorders>
              <w:top w:val="nil"/>
              <w:left w:val="nil"/>
              <w:bottom w:val="nil"/>
              <w:right w:val="nil"/>
            </w:tcBorders>
            <w:shd w:val="clear" w:color="auto" w:fill="auto"/>
            <w:noWrap/>
            <w:vAlign w:val="bottom"/>
          </w:tcPr>
          <w:p w14:paraId="421BB3A8" w14:textId="77777777" w:rsidR="00F70E20" w:rsidRPr="00CB425F" w:rsidRDefault="00F70E20" w:rsidP="0099770F">
            <w:pPr>
              <w:jc w:val="center"/>
            </w:pPr>
          </w:p>
        </w:tc>
        <w:tc>
          <w:tcPr>
            <w:tcW w:w="1056" w:type="dxa"/>
            <w:tcBorders>
              <w:top w:val="nil"/>
              <w:left w:val="nil"/>
              <w:bottom w:val="nil"/>
              <w:right w:val="nil"/>
            </w:tcBorders>
            <w:shd w:val="clear" w:color="auto" w:fill="auto"/>
            <w:noWrap/>
            <w:vAlign w:val="bottom"/>
          </w:tcPr>
          <w:p w14:paraId="3BC80C72" w14:textId="77777777" w:rsidR="00F70E20" w:rsidRPr="00CB425F" w:rsidRDefault="00F70E20" w:rsidP="0099770F">
            <w:pPr>
              <w:jc w:val="center"/>
            </w:pPr>
          </w:p>
        </w:tc>
        <w:tc>
          <w:tcPr>
            <w:tcW w:w="1056" w:type="dxa"/>
            <w:tcBorders>
              <w:top w:val="nil"/>
              <w:left w:val="nil"/>
              <w:bottom w:val="nil"/>
              <w:right w:val="nil"/>
            </w:tcBorders>
            <w:shd w:val="clear" w:color="auto" w:fill="auto"/>
            <w:noWrap/>
            <w:vAlign w:val="bottom"/>
          </w:tcPr>
          <w:p w14:paraId="04925825" w14:textId="77777777" w:rsidR="00F70E20" w:rsidRPr="00CB425F" w:rsidRDefault="00F70E20" w:rsidP="0099770F">
            <w:pPr>
              <w:jc w:val="center"/>
            </w:pPr>
            <w:r w:rsidRPr="00CB425F">
              <w:rPr>
                <w:color w:val="000000"/>
              </w:rPr>
              <w:t>(0.002)</w:t>
            </w:r>
          </w:p>
        </w:tc>
      </w:tr>
      <w:tr w:rsidR="00F70E20" w:rsidRPr="00A65CFF" w14:paraId="32066C3D" w14:textId="77777777" w:rsidTr="00F70E20">
        <w:trPr>
          <w:trHeight w:val="290"/>
        </w:trPr>
        <w:tc>
          <w:tcPr>
            <w:tcW w:w="2410" w:type="dxa"/>
            <w:vMerge w:val="restart"/>
            <w:tcBorders>
              <w:top w:val="nil"/>
              <w:left w:val="nil"/>
              <w:right w:val="nil"/>
            </w:tcBorders>
            <w:shd w:val="clear" w:color="auto" w:fill="auto"/>
            <w:noWrap/>
            <w:vAlign w:val="center"/>
            <w:hideMark/>
          </w:tcPr>
          <w:p w14:paraId="700EC51A" w14:textId="77777777" w:rsidR="00F70E20" w:rsidRPr="00CB425F" w:rsidRDefault="00F70E20" w:rsidP="0099770F">
            <w:pPr>
              <w:rPr>
                <w:color w:val="000000"/>
              </w:rPr>
            </w:pPr>
            <w:r w:rsidRPr="00CB425F">
              <w:rPr>
                <w:color w:val="000000"/>
              </w:rPr>
              <w:t>Acquisitions*Gross Margin</w:t>
            </w:r>
          </w:p>
        </w:tc>
        <w:tc>
          <w:tcPr>
            <w:tcW w:w="1056" w:type="dxa"/>
            <w:tcBorders>
              <w:top w:val="nil"/>
              <w:left w:val="nil"/>
              <w:bottom w:val="nil"/>
              <w:right w:val="nil"/>
            </w:tcBorders>
            <w:shd w:val="clear" w:color="auto" w:fill="auto"/>
            <w:noWrap/>
            <w:vAlign w:val="bottom"/>
          </w:tcPr>
          <w:p w14:paraId="01AC5ED3" w14:textId="77777777" w:rsidR="00F70E20" w:rsidRPr="00CB425F" w:rsidRDefault="00F70E20" w:rsidP="0099770F">
            <w:pPr>
              <w:jc w:val="center"/>
              <w:rPr>
                <w:color w:val="000000"/>
              </w:rPr>
            </w:pPr>
          </w:p>
        </w:tc>
        <w:tc>
          <w:tcPr>
            <w:tcW w:w="1056" w:type="dxa"/>
            <w:tcBorders>
              <w:top w:val="nil"/>
              <w:left w:val="nil"/>
              <w:bottom w:val="nil"/>
              <w:right w:val="nil"/>
            </w:tcBorders>
            <w:shd w:val="clear" w:color="auto" w:fill="auto"/>
            <w:noWrap/>
            <w:vAlign w:val="bottom"/>
          </w:tcPr>
          <w:p w14:paraId="4CBE792D" w14:textId="77777777" w:rsidR="00F70E20" w:rsidRPr="00CB425F" w:rsidRDefault="00F70E20" w:rsidP="0099770F">
            <w:pPr>
              <w:jc w:val="center"/>
              <w:rPr>
                <w:color w:val="000000"/>
              </w:rPr>
            </w:pPr>
          </w:p>
        </w:tc>
        <w:tc>
          <w:tcPr>
            <w:tcW w:w="1056" w:type="dxa"/>
            <w:tcBorders>
              <w:top w:val="nil"/>
              <w:left w:val="nil"/>
              <w:bottom w:val="nil"/>
              <w:right w:val="nil"/>
            </w:tcBorders>
            <w:shd w:val="clear" w:color="auto" w:fill="auto"/>
            <w:noWrap/>
            <w:vAlign w:val="bottom"/>
          </w:tcPr>
          <w:p w14:paraId="423B99DA" w14:textId="77777777" w:rsidR="00F70E20" w:rsidRPr="00CB425F" w:rsidRDefault="00F70E20" w:rsidP="0099770F">
            <w:pPr>
              <w:jc w:val="center"/>
            </w:pPr>
          </w:p>
        </w:tc>
        <w:tc>
          <w:tcPr>
            <w:tcW w:w="1056" w:type="dxa"/>
            <w:tcBorders>
              <w:top w:val="nil"/>
              <w:left w:val="nil"/>
              <w:bottom w:val="nil"/>
              <w:right w:val="nil"/>
            </w:tcBorders>
            <w:shd w:val="clear" w:color="auto" w:fill="auto"/>
            <w:noWrap/>
            <w:vAlign w:val="bottom"/>
          </w:tcPr>
          <w:p w14:paraId="038A1D43" w14:textId="77777777" w:rsidR="00F70E20" w:rsidRPr="00CB425F" w:rsidRDefault="00F70E20" w:rsidP="0099770F">
            <w:pPr>
              <w:jc w:val="center"/>
            </w:pPr>
          </w:p>
        </w:tc>
        <w:tc>
          <w:tcPr>
            <w:tcW w:w="1056" w:type="dxa"/>
            <w:tcBorders>
              <w:top w:val="nil"/>
              <w:left w:val="nil"/>
              <w:bottom w:val="nil"/>
              <w:right w:val="nil"/>
            </w:tcBorders>
            <w:shd w:val="clear" w:color="auto" w:fill="auto"/>
            <w:noWrap/>
            <w:vAlign w:val="bottom"/>
          </w:tcPr>
          <w:p w14:paraId="64913761" w14:textId="77777777" w:rsidR="00F70E20" w:rsidRPr="00CB425F" w:rsidRDefault="00F70E20" w:rsidP="0099770F">
            <w:pPr>
              <w:jc w:val="center"/>
            </w:pPr>
            <w:r w:rsidRPr="00CB425F">
              <w:rPr>
                <w:color w:val="000000"/>
              </w:rPr>
              <w:t>-0.291</w:t>
            </w:r>
          </w:p>
        </w:tc>
      </w:tr>
      <w:tr w:rsidR="00F70E20" w:rsidRPr="00A65CFF" w14:paraId="1410BB84" w14:textId="77777777" w:rsidTr="00F70E20">
        <w:trPr>
          <w:trHeight w:val="290"/>
        </w:trPr>
        <w:tc>
          <w:tcPr>
            <w:tcW w:w="2410" w:type="dxa"/>
            <w:vMerge/>
            <w:tcBorders>
              <w:left w:val="nil"/>
              <w:bottom w:val="nil"/>
              <w:right w:val="nil"/>
            </w:tcBorders>
            <w:shd w:val="clear" w:color="auto" w:fill="auto"/>
            <w:noWrap/>
            <w:vAlign w:val="center"/>
            <w:hideMark/>
          </w:tcPr>
          <w:p w14:paraId="3B733E7F" w14:textId="77777777" w:rsidR="00F70E20" w:rsidRPr="00CB425F" w:rsidRDefault="00F70E20" w:rsidP="0099770F"/>
        </w:tc>
        <w:tc>
          <w:tcPr>
            <w:tcW w:w="1056" w:type="dxa"/>
            <w:tcBorders>
              <w:top w:val="nil"/>
              <w:left w:val="nil"/>
              <w:bottom w:val="nil"/>
              <w:right w:val="nil"/>
            </w:tcBorders>
            <w:shd w:val="clear" w:color="auto" w:fill="auto"/>
            <w:noWrap/>
            <w:vAlign w:val="bottom"/>
          </w:tcPr>
          <w:p w14:paraId="4F315BE9" w14:textId="77777777" w:rsidR="00F70E20" w:rsidRPr="00CB425F" w:rsidRDefault="00F70E20" w:rsidP="0099770F">
            <w:pPr>
              <w:jc w:val="center"/>
              <w:rPr>
                <w:color w:val="000000"/>
              </w:rPr>
            </w:pPr>
          </w:p>
        </w:tc>
        <w:tc>
          <w:tcPr>
            <w:tcW w:w="1056" w:type="dxa"/>
            <w:tcBorders>
              <w:top w:val="nil"/>
              <w:left w:val="nil"/>
              <w:bottom w:val="nil"/>
              <w:right w:val="nil"/>
            </w:tcBorders>
            <w:shd w:val="clear" w:color="auto" w:fill="auto"/>
            <w:noWrap/>
            <w:vAlign w:val="bottom"/>
          </w:tcPr>
          <w:p w14:paraId="339FE851" w14:textId="77777777" w:rsidR="00F70E20" w:rsidRPr="00CB425F" w:rsidRDefault="00F70E20" w:rsidP="0099770F">
            <w:pPr>
              <w:jc w:val="center"/>
              <w:rPr>
                <w:color w:val="000000"/>
              </w:rPr>
            </w:pPr>
          </w:p>
        </w:tc>
        <w:tc>
          <w:tcPr>
            <w:tcW w:w="1056" w:type="dxa"/>
            <w:tcBorders>
              <w:top w:val="nil"/>
              <w:left w:val="nil"/>
              <w:bottom w:val="nil"/>
              <w:right w:val="nil"/>
            </w:tcBorders>
            <w:shd w:val="clear" w:color="auto" w:fill="auto"/>
            <w:noWrap/>
            <w:vAlign w:val="bottom"/>
          </w:tcPr>
          <w:p w14:paraId="18A029C5" w14:textId="77777777" w:rsidR="00F70E20" w:rsidRPr="00CB425F" w:rsidRDefault="00F70E20" w:rsidP="0099770F">
            <w:pPr>
              <w:jc w:val="center"/>
            </w:pPr>
          </w:p>
        </w:tc>
        <w:tc>
          <w:tcPr>
            <w:tcW w:w="1056" w:type="dxa"/>
            <w:tcBorders>
              <w:top w:val="nil"/>
              <w:left w:val="nil"/>
              <w:bottom w:val="nil"/>
              <w:right w:val="nil"/>
            </w:tcBorders>
            <w:shd w:val="clear" w:color="auto" w:fill="auto"/>
            <w:noWrap/>
            <w:vAlign w:val="bottom"/>
          </w:tcPr>
          <w:p w14:paraId="536F22D6" w14:textId="77777777" w:rsidR="00F70E20" w:rsidRPr="00CB425F" w:rsidRDefault="00F70E20" w:rsidP="0099770F">
            <w:pPr>
              <w:jc w:val="center"/>
            </w:pPr>
          </w:p>
        </w:tc>
        <w:tc>
          <w:tcPr>
            <w:tcW w:w="1056" w:type="dxa"/>
            <w:tcBorders>
              <w:top w:val="nil"/>
              <w:left w:val="nil"/>
              <w:bottom w:val="nil"/>
              <w:right w:val="nil"/>
            </w:tcBorders>
            <w:shd w:val="clear" w:color="auto" w:fill="auto"/>
            <w:noWrap/>
            <w:vAlign w:val="bottom"/>
          </w:tcPr>
          <w:p w14:paraId="69985564" w14:textId="77777777" w:rsidR="00F70E20" w:rsidRPr="00CB425F" w:rsidRDefault="00F70E20" w:rsidP="0099770F">
            <w:pPr>
              <w:jc w:val="center"/>
            </w:pPr>
            <w:r w:rsidRPr="00CB425F">
              <w:rPr>
                <w:color w:val="000000"/>
              </w:rPr>
              <w:t>(0.052)</w:t>
            </w:r>
          </w:p>
        </w:tc>
      </w:tr>
      <w:tr w:rsidR="00F70E20" w:rsidRPr="00A65CFF" w14:paraId="21E2A67A" w14:textId="77777777" w:rsidTr="00F70E20">
        <w:trPr>
          <w:trHeight w:val="290"/>
        </w:trPr>
        <w:tc>
          <w:tcPr>
            <w:tcW w:w="2410" w:type="dxa"/>
            <w:vMerge w:val="restart"/>
            <w:tcBorders>
              <w:top w:val="nil"/>
              <w:left w:val="nil"/>
              <w:right w:val="nil"/>
            </w:tcBorders>
            <w:shd w:val="clear" w:color="auto" w:fill="auto"/>
            <w:noWrap/>
            <w:vAlign w:val="center"/>
            <w:hideMark/>
          </w:tcPr>
          <w:p w14:paraId="60F676CA" w14:textId="77777777" w:rsidR="00F70E20" w:rsidRPr="00CB425F" w:rsidRDefault="00F70E20" w:rsidP="0099770F">
            <w:pPr>
              <w:rPr>
                <w:color w:val="000000"/>
              </w:rPr>
            </w:pPr>
            <w:r w:rsidRPr="00CB425F">
              <w:rPr>
                <w:color w:val="000000"/>
              </w:rPr>
              <w:t>Constant</w:t>
            </w:r>
          </w:p>
        </w:tc>
        <w:tc>
          <w:tcPr>
            <w:tcW w:w="1056" w:type="dxa"/>
            <w:tcBorders>
              <w:top w:val="nil"/>
              <w:left w:val="nil"/>
              <w:bottom w:val="nil"/>
              <w:right w:val="nil"/>
            </w:tcBorders>
            <w:shd w:val="clear" w:color="auto" w:fill="auto"/>
            <w:noWrap/>
            <w:vAlign w:val="bottom"/>
          </w:tcPr>
          <w:p w14:paraId="6A381A4B" w14:textId="77777777" w:rsidR="00F70E20" w:rsidRPr="00CB425F" w:rsidRDefault="00F70E20" w:rsidP="0099770F">
            <w:pPr>
              <w:jc w:val="center"/>
              <w:rPr>
                <w:color w:val="000000"/>
              </w:rPr>
            </w:pPr>
            <w:r w:rsidRPr="00CB425F">
              <w:rPr>
                <w:color w:val="000000"/>
              </w:rPr>
              <w:t>-0.372</w:t>
            </w:r>
          </w:p>
        </w:tc>
        <w:tc>
          <w:tcPr>
            <w:tcW w:w="1056" w:type="dxa"/>
            <w:tcBorders>
              <w:top w:val="nil"/>
              <w:left w:val="nil"/>
              <w:bottom w:val="nil"/>
              <w:right w:val="nil"/>
            </w:tcBorders>
            <w:shd w:val="clear" w:color="auto" w:fill="auto"/>
            <w:noWrap/>
            <w:vAlign w:val="bottom"/>
          </w:tcPr>
          <w:p w14:paraId="05559334" w14:textId="77777777" w:rsidR="00F70E20" w:rsidRPr="00CB425F" w:rsidRDefault="00F70E20" w:rsidP="0099770F">
            <w:pPr>
              <w:jc w:val="center"/>
              <w:rPr>
                <w:color w:val="000000"/>
              </w:rPr>
            </w:pPr>
            <w:r w:rsidRPr="00CB425F">
              <w:rPr>
                <w:color w:val="000000"/>
              </w:rPr>
              <w:t>-0.435</w:t>
            </w:r>
          </w:p>
        </w:tc>
        <w:tc>
          <w:tcPr>
            <w:tcW w:w="1056" w:type="dxa"/>
            <w:tcBorders>
              <w:top w:val="nil"/>
              <w:left w:val="nil"/>
              <w:bottom w:val="nil"/>
              <w:right w:val="nil"/>
            </w:tcBorders>
            <w:shd w:val="clear" w:color="auto" w:fill="auto"/>
            <w:noWrap/>
            <w:vAlign w:val="bottom"/>
          </w:tcPr>
          <w:p w14:paraId="3EFCF135" w14:textId="77777777" w:rsidR="00F70E20" w:rsidRPr="00CB425F" w:rsidRDefault="00F70E20" w:rsidP="0099770F">
            <w:pPr>
              <w:jc w:val="center"/>
              <w:rPr>
                <w:color w:val="000000"/>
              </w:rPr>
            </w:pPr>
            <w:r w:rsidRPr="00CB425F">
              <w:rPr>
                <w:color w:val="000000"/>
              </w:rPr>
              <w:t>-0.345</w:t>
            </w:r>
          </w:p>
        </w:tc>
        <w:tc>
          <w:tcPr>
            <w:tcW w:w="1056" w:type="dxa"/>
            <w:tcBorders>
              <w:top w:val="nil"/>
              <w:left w:val="nil"/>
              <w:bottom w:val="nil"/>
              <w:right w:val="nil"/>
            </w:tcBorders>
            <w:shd w:val="clear" w:color="auto" w:fill="auto"/>
            <w:noWrap/>
            <w:vAlign w:val="bottom"/>
          </w:tcPr>
          <w:p w14:paraId="08BE4464" w14:textId="77777777" w:rsidR="00F70E20" w:rsidRPr="00CB425F" w:rsidRDefault="00F70E20" w:rsidP="0099770F">
            <w:pPr>
              <w:jc w:val="center"/>
              <w:rPr>
                <w:color w:val="000000"/>
              </w:rPr>
            </w:pPr>
            <w:r w:rsidRPr="00CB425F">
              <w:rPr>
                <w:color w:val="000000"/>
              </w:rPr>
              <w:t>-0.420</w:t>
            </w:r>
          </w:p>
        </w:tc>
        <w:tc>
          <w:tcPr>
            <w:tcW w:w="1056" w:type="dxa"/>
            <w:tcBorders>
              <w:top w:val="nil"/>
              <w:left w:val="nil"/>
              <w:bottom w:val="nil"/>
              <w:right w:val="nil"/>
            </w:tcBorders>
            <w:shd w:val="clear" w:color="auto" w:fill="auto"/>
            <w:noWrap/>
            <w:vAlign w:val="bottom"/>
          </w:tcPr>
          <w:p w14:paraId="06526468" w14:textId="77777777" w:rsidR="00F70E20" w:rsidRPr="00CB425F" w:rsidRDefault="00F70E20" w:rsidP="0099770F">
            <w:pPr>
              <w:jc w:val="center"/>
              <w:rPr>
                <w:color w:val="000000"/>
              </w:rPr>
            </w:pPr>
            <w:r w:rsidRPr="00CB425F">
              <w:rPr>
                <w:color w:val="000000"/>
              </w:rPr>
              <w:t>-0.444</w:t>
            </w:r>
          </w:p>
        </w:tc>
      </w:tr>
      <w:tr w:rsidR="00F70E20" w:rsidRPr="00A65CFF" w14:paraId="5396875C" w14:textId="77777777" w:rsidTr="00F70E20">
        <w:trPr>
          <w:trHeight w:val="290"/>
        </w:trPr>
        <w:tc>
          <w:tcPr>
            <w:tcW w:w="2410" w:type="dxa"/>
            <w:vMerge/>
            <w:tcBorders>
              <w:left w:val="nil"/>
              <w:bottom w:val="nil"/>
              <w:right w:val="nil"/>
            </w:tcBorders>
            <w:shd w:val="clear" w:color="auto" w:fill="auto"/>
            <w:noWrap/>
            <w:vAlign w:val="center"/>
            <w:hideMark/>
          </w:tcPr>
          <w:p w14:paraId="0F194EBF" w14:textId="77777777" w:rsidR="00F70E20" w:rsidRPr="00CB425F" w:rsidRDefault="00F70E20" w:rsidP="0099770F">
            <w:pPr>
              <w:rPr>
                <w:color w:val="000000"/>
              </w:rPr>
            </w:pPr>
          </w:p>
        </w:tc>
        <w:tc>
          <w:tcPr>
            <w:tcW w:w="1056" w:type="dxa"/>
            <w:tcBorders>
              <w:top w:val="nil"/>
              <w:left w:val="nil"/>
              <w:bottom w:val="nil"/>
              <w:right w:val="nil"/>
            </w:tcBorders>
            <w:shd w:val="clear" w:color="auto" w:fill="auto"/>
            <w:noWrap/>
            <w:vAlign w:val="bottom"/>
          </w:tcPr>
          <w:p w14:paraId="58EEA03F" w14:textId="77777777" w:rsidR="00F70E20" w:rsidRPr="00CB425F" w:rsidRDefault="00F70E20" w:rsidP="0099770F">
            <w:pPr>
              <w:jc w:val="center"/>
              <w:rPr>
                <w:color w:val="000000"/>
              </w:rPr>
            </w:pPr>
            <w:r w:rsidRPr="00CB425F">
              <w:rPr>
                <w:color w:val="000000"/>
              </w:rPr>
              <w:t>(0.001)</w:t>
            </w:r>
          </w:p>
        </w:tc>
        <w:tc>
          <w:tcPr>
            <w:tcW w:w="1056" w:type="dxa"/>
            <w:tcBorders>
              <w:top w:val="nil"/>
              <w:left w:val="nil"/>
              <w:bottom w:val="nil"/>
              <w:right w:val="nil"/>
            </w:tcBorders>
            <w:shd w:val="clear" w:color="auto" w:fill="auto"/>
            <w:noWrap/>
            <w:vAlign w:val="bottom"/>
          </w:tcPr>
          <w:p w14:paraId="558666D4" w14:textId="77777777" w:rsidR="00F70E20" w:rsidRPr="00CB425F" w:rsidRDefault="00F70E20" w:rsidP="0099770F">
            <w:pPr>
              <w:jc w:val="center"/>
              <w:rPr>
                <w:color w:val="000000"/>
              </w:rPr>
            </w:pPr>
            <w:r w:rsidRPr="00CB425F">
              <w:rPr>
                <w:color w:val="000000"/>
              </w:rPr>
              <w:t>(0.000)</w:t>
            </w:r>
          </w:p>
        </w:tc>
        <w:tc>
          <w:tcPr>
            <w:tcW w:w="1056" w:type="dxa"/>
            <w:tcBorders>
              <w:top w:val="nil"/>
              <w:left w:val="nil"/>
              <w:bottom w:val="nil"/>
              <w:right w:val="nil"/>
            </w:tcBorders>
            <w:shd w:val="clear" w:color="auto" w:fill="auto"/>
            <w:noWrap/>
            <w:vAlign w:val="bottom"/>
          </w:tcPr>
          <w:p w14:paraId="2023B9F8" w14:textId="77777777" w:rsidR="00F70E20" w:rsidRPr="00CB425F" w:rsidRDefault="00F70E20" w:rsidP="0099770F">
            <w:pPr>
              <w:jc w:val="center"/>
              <w:rPr>
                <w:color w:val="000000"/>
              </w:rPr>
            </w:pPr>
            <w:r w:rsidRPr="00CB425F">
              <w:rPr>
                <w:color w:val="000000"/>
              </w:rPr>
              <w:t>(0.003)</w:t>
            </w:r>
          </w:p>
        </w:tc>
        <w:tc>
          <w:tcPr>
            <w:tcW w:w="1056" w:type="dxa"/>
            <w:tcBorders>
              <w:top w:val="nil"/>
              <w:left w:val="nil"/>
              <w:bottom w:val="nil"/>
              <w:right w:val="nil"/>
            </w:tcBorders>
            <w:shd w:val="clear" w:color="auto" w:fill="auto"/>
            <w:noWrap/>
            <w:vAlign w:val="bottom"/>
          </w:tcPr>
          <w:p w14:paraId="15A2289A" w14:textId="77777777" w:rsidR="00F70E20" w:rsidRPr="00CB425F" w:rsidRDefault="00F70E20" w:rsidP="0099770F">
            <w:pPr>
              <w:jc w:val="center"/>
              <w:rPr>
                <w:color w:val="000000"/>
              </w:rPr>
            </w:pPr>
            <w:r w:rsidRPr="00CB425F">
              <w:rPr>
                <w:color w:val="000000"/>
              </w:rPr>
              <w:t>(0.000)</w:t>
            </w:r>
          </w:p>
        </w:tc>
        <w:tc>
          <w:tcPr>
            <w:tcW w:w="1056" w:type="dxa"/>
            <w:tcBorders>
              <w:top w:val="nil"/>
              <w:left w:val="nil"/>
              <w:bottom w:val="nil"/>
              <w:right w:val="nil"/>
            </w:tcBorders>
            <w:shd w:val="clear" w:color="auto" w:fill="auto"/>
            <w:noWrap/>
            <w:vAlign w:val="bottom"/>
          </w:tcPr>
          <w:p w14:paraId="08FC56B1" w14:textId="77777777" w:rsidR="00F70E20" w:rsidRPr="00CB425F" w:rsidRDefault="00F70E20" w:rsidP="0099770F">
            <w:pPr>
              <w:jc w:val="center"/>
              <w:rPr>
                <w:color w:val="000000"/>
              </w:rPr>
            </w:pPr>
            <w:r w:rsidRPr="00CB425F">
              <w:rPr>
                <w:color w:val="000000"/>
              </w:rPr>
              <w:t>(0.000)</w:t>
            </w:r>
          </w:p>
        </w:tc>
      </w:tr>
      <w:tr w:rsidR="00F70E20" w:rsidRPr="00A65CFF" w14:paraId="637AE9BC" w14:textId="77777777" w:rsidTr="00F70E20">
        <w:trPr>
          <w:trHeight w:val="290"/>
        </w:trPr>
        <w:tc>
          <w:tcPr>
            <w:tcW w:w="2410" w:type="dxa"/>
            <w:tcBorders>
              <w:top w:val="nil"/>
              <w:left w:val="nil"/>
              <w:bottom w:val="nil"/>
              <w:right w:val="nil"/>
            </w:tcBorders>
            <w:shd w:val="clear" w:color="auto" w:fill="auto"/>
            <w:noWrap/>
            <w:vAlign w:val="center"/>
          </w:tcPr>
          <w:p w14:paraId="50D3C410" w14:textId="77777777" w:rsidR="00F70E20" w:rsidRPr="00CB425F" w:rsidRDefault="00F70E20" w:rsidP="0099770F">
            <w:pPr>
              <w:rPr>
                <w:color w:val="000000"/>
              </w:rPr>
            </w:pPr>
            <w:r w:rsidRPr="00CB425F">
              <w:rPr>
                <w:color w:val="000000"/>
              </w:rPr>
              <w:t>IPO year dummies</w:t>
            </w:r>
          </w:p>
        </w:tc>
        <w:tc>
          <w:tcPr>
            <w:tcW w:w="1056" w:type="dxa"/>
            <w:tcBorders>
              <w:top w:val="nil"/>
              <w:left w:val="nil"/>
              <w:bottom w:val="nil"/>
              <w:right w:val="nil"/>
            </w:tcBorders>
            <w:shd w:val="clear" w:color="auto" w:fill="auto"/>
            <w:noWrap/>
            <w:vAlign w:val="center"/>
          </w:tcPr>
          <w:p w14:paraId="67158C60" w14:textId="77777777" w:rsidR="00F70E20" w:rsidRPr="00CB425F" w:rsidRDefault="00F70E20" w:rsidP="0099770F">
            <w:pPr>
              <w:jc w:val="center"/>
              <w:rPr>
                <w:color w:val="000000"/>
              </w:rPr>
            </w:pPr>
            <w:r w:rsidRPr="00CB425F">
              <w:rPr>
                <w:color w:val="000000"/>
              </w:rPr>
              <w:t>Included</w:t>
            </w:r>
          </w:p>
        </w:tc>
        <w:tc>
          <w:tcPr>
            <w:tcW w:w="1056" w:type="dxa"/>
            <w:tcBorders>
              <w:top w:val="nil"/>
              <w:left w:val="nil"/>
              <w:bottom w:val="nil"/>
              <w:right w:val="nil"/>
            </w:tcBorders>
            <w:shd w:val="clear" w:color="auto" w:fill="auto"/>
            <w:noWrap/>
            <w:vAlign w:val="center"/>
          </w:tcPr>
          <w:p w14:paraId="40B734AA" w14:textId="77777777" w:rsidR="00F70E20" w:rsidRPr="00CB425F" w:rsidRDefault="00F70E20" w:rsidP="0099770F">
            <w:pPr>
              <w:jc w:val="center"/>
              <w:rPr>
                <w:color w:val="000000"/>
              </w:rPr>
            </w:pPr>
            <w:r w:rsidRPr="00CB425F">
              <w:rPr>
                <w:color w:val="000000"/>
              </w:rPr>
              <w:t>Included</w:t>
            </w:r>
          </w:p>
        </w:tc>
        <w:tc>
          <w:tcPr>
            <w:tcW w:w="1056" w:type="dxa"/>
            <w:tcBorders>
              <w:top w:val="nil"/>
              <w:left w:val="nil"/>
              <w:bottom w:val="nil"/>
              <w:right w:val="nil"/>
            </w:tcBorders>
            <w:shd w:val="clear" w:color="auto" w:fill="auto"/>
            <w:noWrap/>
            <w:vAlign w:val="center"/>
          </w:tcPr>
          <w:p w14:paraId="4F6C25EA" w14:textId="77777777" w:rsidR="00F70E20" w:rsidRPr="00CB425F" w:rsidRDefault="00F70E20" w:rsidP="0099770F">
            <w:pPr>
              <w:jc w:val="center"/>
              <w:rPr>
                <w:color w:val="000000"/>
              </w:rPr>
            </w:pPr>
            <w:r w:rsidRPr="00CB425F">
              <w:rPr>
                <w:color w:val="000000"/>
              </w:rPr>
              <w:t>Included</w:t>
            </w:r>
          </w:p>
        </w:tc>
        <w:tc>
          <w:tcPr>
            <w:tcW w:w="1056" w:type="dxa"/>
            <w:tcBorders>
              <w:top w:val="nil"/>
              <w:left w:val="nil"/>
              <w:bottom w:val="nil"/>
              <w:right w:val="nil"/>
            </w:tcBorders>
            <w:shd w:val="clear" w:color="auto" w:fill="auto"/>
            <w:noWrap/>
            <w:vAlign w:val="center"/>
          </w:tcPr>
          <w:p w14:paraId="02F758C7" w14:textId="77777777" w:rsidR="00F70E20" w:rsidRPr="00CB425F" w:rsidRDefault="00F70E20" w:rsidP="0099770F">
            <w:pPr>
              <w:jc w:val="center"/>
              <w:rPr>
                <w:color w:val="000000"/>
              </w:rPr>
            </w:pPr>
            <w:r w:rsidRPr="00CB425F">
              <w:rPr>
                <w:color w:val="000000"/>
              </w:rPr>
              <w:t>Included</w:t>
            </w:r>
          </w:p>
        </w:tc>
        <w:tc>
          <w:tcPr>
            <w:tcW w:w="1056" w:type="dxa"/>
            <w:tcBorders>
              <w:top w:val="nil"/>
              <w:left w:val="nil"/>
              <w:bottom w:val="nil"/>
              <w:right w:val="nil"/>
            </w:tcBorders>
            <w:shd w:val="clear" w:color="auto" w:fill="auto"/>
            <w:noWrap/>
            <w:vAlign w:val="center"/>
          </w:tcPr>
          <w:p w14:paraId="66158ACE" w14:textId="77777777" w:rsidR="00F70E20" w:rsidRPr="00CB425F" w:rsidRDefault="00F70E20" w:rsidP="0099770F">
            <w:pPr>
              <w:jc w:val="center"/>
              <w:rPr>
                <w:color w:val="000000"/>
              </w:rPr>
            </w:pPr>
            <w:r w:rsidRPr="00CB425F">
              <w:rPr>
                <w:color w:val="000000"/>
              </w:rPr>
              <w:t>Included</w:t>
            </w:r>
          </w:p>
        </w:tc>
      </w:tr>
      <w:tr w:rsidR="00F70E20" w:rsidRPr="00A65CFF" w14:paraId="07D18D15" w14:textId="77777777" w:rsidTr="00F70E20">
        <w:trPr>
          <w:trHeight w:val="290"/>
        </w:trPr>
        <w:tc>
          <w:tcPr>
            <w:tcW w:w="2410" w:type="dxa"/>
            <w:tcBorders>
              <w:top w:val="nil"/>
              <w:left w:val="nil"/>
              <w:right w:val="nil"/>
            </w:tcBorders>
            <w:shd w:val="clear" w:color="auto" w:fill="auto"/>
            <w:noWrap/>
            <w:vAlign w:val="center"/>
          </w:tcPr>
          <w:p w14:paraId="7D65CD86" w14:textId="77777777" w:rsidR="00F70E20" w:rsidRPr="00CB425F" w:rsidRDefault="00F70E20" w:rsidP="0099770F">
            <w:pPr>
              <w:rPr>
                <w:color w:val="000000"/>
              </w:rPr>
            </w:pPr>
            <w:r w:rsidRPr="00CB425F">
              <w:rPr>
                <w:color w:val="000000"/>
              </w:rPr>
              <w:t>Log likelihood</w:t>
            </w:r>
          </w:p>
        </w:tc>
        <w:tc>
          <w:tcPr>
            <w:tcW w:w="1056" w:type="dxa"/>
            <w:tcBorders>
              <w:top w:val="nil"/>
              <w:left w:val="nil"/>
              <w:right w:val="nil"/>
            </w:tcBorders>
            <w:shd w:val="clear" w:color="auto" w:fill="auto"/>
            <w:noWrap/>
            <w:vAlign w:val="center"/>
          </w:tcPr>
          <w:p w14:paraId="458A9407" w14:textId="77777777" w:rsidR="00F70E20" w:rsidRPr="00CB425F" w:rsidRDefault="00F70E20" w:rsidP="0099770F">
            <w:pPr>
              <w:jc w:val="center"/>
              <w:rPr>
                <w:color w:val="000000"/>
              </w:rPr>
            </w:pPr>
            <w:r w:rsidRPr="00CB425F">
              <w:rPr>
                <w:color w:val="000000"/>
              </w:rPr>
              <w:t>19.86</w:t>
            </w:r>
          </w:p>
        </w:tc>
        <w:tc>
          <w:tcPr>
            <w:tcW w:w="1056" w:type="dxa"/>
            <w:tcBorders>
              <w:top w:val="nil"/>
              <w:left w:val="nil"/>
              <w:right w:val="nil"/>
            </w:tcBorders>
            <w:shd w:val="clear" w:color="auto" w:fill="auto"/>
            <w:noWrap/>
            <w:vAlign w:val="center"/>
          </w:tcPr>
          <w:p w14:paraId="705D9E3E" w14:textId="77777777" w:rsidR="00F70E20" w:rsidRPr="00CB425F" w:rsidRDefault="00F70E20" w:rsidP="0099770F">
            <w:pPr>
              <w:jc w:val="center"/>
              <w:rPr>
                <w:color w:val="000000"/>
              </w:rPr>
            </w:pPr>
            <w:r w:rsidRPr="00CB425F">
              <w:rPr>
                <w:color w:val="000000"/>
              </w:rPr>
              <w:t>21.77</w:t>
            </w:r>
          </w:p>
        </w:tc>
        <w:tc>
          <w:tcPr>
            <w:tcW w:w="1056" w:type="dxa"/>
            <w:tcBorders>
              <w:top w:val="nil"/>
              <w:left w:val="nil"/>
              <w:right w:val="nil"/>
            </w:tcBorders>
            <w:shd w:val="clear" w:color="auto" w:fill="auto"/>
            <w:noWrap/>
            <w:vAlign w:val="center"/>
          </w:tcPr>
          <w:p w14:paraId="528C9839" w14:textId="77777777" w:rsidR="00F70E20" w:rsidRPr="00CB425F" w:rsidRDefault="00F70E20" w:rsidP="0099770F">
            <w:pPr>
              <w:jc w:val="center"/>
              <w:rPr>
                <w:color w:val="000000"/>
              </w:rPr>
            </w:pPr>
            <w:r w:rsidRPr="00CB425F">
              <w:rPr>
                <w:color w:val="000000"/>
              </w:rPr>
              <w:t>24.50</w:t>
            </w:r>
          </w:p>
        </w:tc>
        <w:tc>
          <w:tcPr>
            <w:tcW w:w="1056" w:type="dxa"/>
            <w:tcBorders>
              <w:top w:val="nil"/>
              <w:left w:val="nil"/>
              <w:right w:val="nil"/>
            </w:tcBorders>
            <w:shd w:val="clear" w:color="auto" w:fill="auto"/>
            <w:noWrap/>
            <w:vAlign w:val="center"/>
          </w:tcPr>
          <w:p w14:paraId="76B8AB87" w14:textId="77777777" w:rsidR="00F70E20" w:rsidRPr="00CB425F" w:rsidRDefault="00F70E20" w:rsidP="0099770F">
            <w:pPr>
              <w:jc w:val="center"/>
              <w:rPr>
                <w:color w:val="000000"/>
              </w:rPr>
            </w:pPr>
            <w:r w:rsidRPr="00CB425F">
              <w:rPr>
                <w:color w:val="000000"/>
              </w:rPr>
              <w:t>27.49</w:t>
            </w:r>
          </w:p>
        </w:tc>
        <w:tc>
          <w:tcPr>
            <w:tcW w:w="1056" w:type="dxa"/>
            <w:tcBorders>
              <w:top w:val="nil"/>
              <w:left w:val="nil"/>
              <w:right w:val="nil"/>
            </w:tcBorders>
            <w:shd w:val="clear" w:color="auto" w:fill="auto"/>
            <w:noWrap/>
            <w:vAlign w:val="center"/>
          </w:tcPr>
          <w:p w14:paraId="25995EAB" w14:textId="77777777" w:rsidR="00F70E20" w:rsidRPr="00CB425F" w:rsidRDefault="00F70E20" w:rsidP="0099770F">
            <w:pPr>
              <w:jc w:val="center"/>
              <w:rPr>
                <w:color w:val="000000"/>
              </w:rPr>
            </w:pPr>
            <w:r w:rsidRPr="00CB425F">
              <w:rPr>
                <w:color w:val="000000"/>
              </w:rPr>
              <w:t>33.67</w:t>
            </w:r>
          </w:p>
        </w:tc>
      </w:tr>
      <w:tr w:rsidR="00F70E20" w:rsidRPr="00A65CFF" w14:paraId="2C10FE0A" w14:textId="77777777" w:rsidTr="00F70E20">
        <w:trPr>
          <w:trHeight w:val="290"/>
        </w:trPr>
        <w:tc>
          <w:tcPr>
            <w:tcW w:w="2410" w:type="dxa"/>
            <w:tcBorders>
              <w:top w:val="nil"/>
              <w:left w:val="nil"/>
              <w:bottom w:val="single" w:sz="12" w:space="0" w:color="auto"/>
              <w:right w:val="nil"/>
            </w:tcBorders>
            <w:shd w:val="clear" w:color="auto" w:fill="auto"/>
            <w:noWrap/>
            <w:vAlign w:val="center"/>
          </w:tcPr>
          <w:p w14:paraId="0D1E12A2" w14:textId="77777777" w:rsidR="00F70E20" w:rsidRPr="00CB425F" w:rsidRDefault="00F70E20" w:rsidP="0099770F">
            <w:pPr>
              <w:rPr>
                <w:color w:val="000000"/>
              </w:rPr>
            </w:pPr>
            <w:r w:rsidRPr="00CB425F">
              <w:rPr>
                <w:color w:val="000000"/>
              </w:rPr>
              <w:t>N</w:t>
            </w:r>
          </w:p>
        </w:tc>
        <w:tc>
          <w:tcPr>
            <w:tcW w:w="1056" w:type="dxa"/>
            <w:tcBorders>
              <w:top w:val="nil"/>
              <w:left w:val="nil"/>
              <w:bottom w:val="single" w:sz="12" w:space="0" w:color="auto"/>
              <w:right w:val="nil"/>
            </w:tcBorders>
            <w:shd w:val="clear" w:color="auto" w:fill="auto"/>
            <w:noWrap/>
            <w:vAlign w:val="center"/>
          </w:tcPr>
          <w:p w14:paraId="55BD8693" w14:textId="77777777" w:rsidR="00F70E20" w:rsidRPr="00CB425F" w:rsidRDefault="00F70E20" w:rsidP="0099770F">
            <w:pPr>
              <w:jc w:val="center"/>
              <w:rPr>
                <w:color w:val="000000"/>
              </w:rPr>
            </w:pPr>
            <w:r w:rsidRPr="00CB425F">
              <w:rPr>
                <w:color w:val="000000"/>
              </w:rPr>
              <w:t>169</w:t>
            </w:r>
          </w:p>
        </w:tc>
        <w:tc>
          <w:tcPr>
            <w:tcW w:w="1056" w:type="dxa"/>
            <w:tcBorders>
              <w:top w:val="nil"/>
              <w:left w:val="nil"/>
              <w:bottom w:val="single" w:sz="12" w:space="0" w:color="auto"/>
              <w:right w:val="nil"/>
            </w:tcBorders>
            <w:shd w:val="clear" w:color="auto" w:fill="auto"/>
            <w:noWrap/>
            <w:vAlign w:val="center"/>
          </w:tcPr>
          <w:p w14:paraId="62E0984E" w14:textId="77777777" w:rsidR="00F70E20" w:rsidRPr="00CB425F" w:rsidRDefault="00F70E20" w:rsidP="0099770F">
            <w:pPr>
              <w:jc w:val="center"/>
              <w:rPr>
                <w:color w:val="000000"/>
              </w:rPr>
            </w:pPr>
            <w:r w:rsidRPr="00CB425F">
              <w:rPr>
                <w:color w:val="000000"/>
              </w:rPr>
              <w:t>169</w:t>
            </w:r>
          </w:p>
        </w:tc>
        <w:tc>
          <w:tcPr>
            <w:tcW w:w="1056" w:type="dxa"/>
            <w:tcBorders>
              <w:top w:val="nil"/>
              <w:left w:val="nil"/>
              <w:bottom w:val="single" w:sz="12" w:space="0" w:color="auto"/>
              <w:right w:val="nil"/>
            </w:tcBorders>
            <w:shd w:val="clear" w:color="auto" w:fill="auto"/>
            <w:noWrap/>
            <w:vAlign w:val="center"/>
          </w:tcPr>
          <w:p w14:paraId="5D3FDF8C" w14:textId="77777777" w:rsidR="00F70E20" w:rsidRPr="00CB425F" w:rsidRDefault="00F70E20" w:rsidP="0099770F">
            <w:pPr>
              <w:jc w:val="center"/>
              <w:rPr>
                <w:color w:val="000000"/>
              </w:rPr>
            </w:pPr>
            <w:r w:rsidRPr="00CB425F">
              <w:rPr>
                <w:color w:val="000000"/>
              </w:rPr>
              <w:t>169</w:t>
            </w:r>
          </w:p>
        </w:tc>
        <w:tc>
          <w:tcPr>
            <w:tcW w:w="1056" w:type="dxa"/>
            <w:tcBorders>
              <w:top w:val="nil"/>
              <w:left w:val="nil"/>
              <w:bottom w:val="single" w:sz="12" w:space="0" w:color="auto"/>
              <w:right w:val="nil"/>
            </w:tcBorders>
            <w:shd w:val="clear" w:color="auto" w:fill="auto"/>
            <w:noWrap/>
            <w:vAlign w:val="center"/>
          </w:tcPr>
          <w:p w14:paraId="766FD752" w14:textId="77777777" w:rsidR="00F70E20" w:rsidRPr="00CB425F" w:rsidRDefault="00F70E20" w:rsidP="0099770F">
            <w:pPr>
              <w:jc w:val="center"/>
              <w:rPr>
                <w:color w:val="000000"/>
              </w:rPr>
            </w:pPr>
            <w:r w:rsidRPr="00CB425F">
              <w:rPr>
                <w:color w:val="000000"/>
              </w:rPr>
              <w:t>169</w:t>
            </w:r>
          </w:p>
        </w:tc>
        <w:tc>
          <w:tcPr>
            <w:tcW w:w="1056" w:type="dxa"/>
            <w:tcBorders>
              <w:top w:val="nil"/>
              <w:left w:val="nil"/>
              <w:bottom w:val="single" w:sz="12" w:space="0" w:color="auto"/>
              <w:right w:val="nil"/>
            </w:tcBorders>
            <w:shd w:val="clear" w:color="auto" w:fill="auto"/>
            <w:noWrap/>
            <w:vAlign w:val="center"/>
          </w:tcPr>
          <w:p w14:paraId="3BA46059" w14:textId="77777777" w:rsidR="00F70E20" w:rsidRPr="00CB425F" w:rsidRDefault="00F70E20" w:rsidP="0099770F">
            <w:pPr>
              <w:jc w:val="center"/>
              <w:rPr>
                <w:color w:val="000000"/>
              </w:rPr>
            </w:pPr>
            <w:r w:rsidRPr="00CB425F">
              <w:rPr>
                <w:color w:val="000000"/>
              </w:rPr>
              <w:t>169</w:t>
            </w:r>
          </w:p>
        </w:tc>
      </w:tr>
    </w:tbl>
    <w:p w14:paraId="5251428C" w14:textId="6F389F52" w:rsidR="00F70E20" w:rsidRDefault="00F70E20">
      <w:pPr>
        <w:rPr>
          <w:b/>
          <w:bCs/>
        </w:rPr>
      </w:pPr>
      <w:r>
        <w:rPr>
          <w:i/>
          <w:iCs/>
          <w:color w:val="222222"/>
          <w:shd w:val="clear" w:color="auto" w:fill="FFFFFF"/>
        </w:rPr>
        <w:t xml:space="preserve">  P</w:t>
      </w:r>
      <w:r w:rsidRPr="008B2F2B">
        <w:rPr>
          <w:i/>
          <w:iCs/>
          <w:color w:val="222222"/>
          <w:shd w:val="clear" w:color="auto" w:fill="FFFFFF"/>
        </w:rPr>
        <w:t>-values in parentheses</w:t>
      </w:r>
      <w:r>
        <w:rPr>
          <w:i/>
          <w:iCs/>
          <w:color w:val="222222"/>
          <w:shd w:val="clear" w:color="auto" w:fill="FFFFFF"/>
        </w:rPr>
        <w:t>.</w:t>
      </w:r>
      <w:r>
        <w:rPr>
          <w:b/>
          <w:bCs/>
        </w:rPr>
        <w:br w:type="page"/>
      </w:r>
    </w:p>
    <w:p w14:paraId="77D09763" w14:textId="70C6092C" w:rsidR="00F70E20" w:rsidRDefault="00F70E20" w:rsidP="00F70E20">
      <w:pPr>
        <w:rPr>
          <w:b/>
          <w:bCs/>
        </w:rPr>
      </w:pPr>
      <w:r w:rsidRPr="001C3912">
        <w:rPr>
          <w:b/>
          <w:bCs/>
        </w:rPr>
        <w:lastRenderedPageBreak/>
        <w:t xml:space="preserve">Figure </w:t>
      </w:r>
      <w:r>
        <w:rPr>
          <w:b/>
          <w:bCs/>
        </w:rPr>
        <w:t>1</w:t>
      </w:r>
      <w:r w:rsidRPr="001C3912">
        <w:rPr>
          <w:b/>
          <w:bCs/>
        </w:rPr>
        <w:t>:</w:t>
      </w:r>
      <w:r>
        <w:rPr>
          <w:b/>
          <w:bCs/>
        </w:rPr>
        <w:t xml:space="preserve"> Predicted probability </w:t>
      </w:r>
      <w:r w:rsidR="00960D19">
        <w:rPr>
          <w:b/>
          <w:bCs/>
        </w:rPr>
        <w:t>that firm will have any pre-IPO foreign sales (FSTS&gt;0)</w:t>
      </w:r>
    </w:p>
    <w:p w14:paraId="184CB37E" w14:textId="77777777" w:rsidR="00F70E20" w:rsidRPr="001C3912" w:rsidRDefault="00F70E20" w:rsidP="00F70E20">
      <w:pPr>
        <w:rPr>
          <w:b/>
          <w:bCs/>
        </w:rPr>
      </w:pPr>
    </w:p>
    <w:p w14:paraId="6979F8FC" w14:textId="1DE3E6A3" w:rsidR="00F70E20" w:rsidRDefault="00960D19" w:rsidP="00F70E20">
      <w:pPr>
        <w:rPr>
          <w:i/>
          <w:iCs/>
          <w:sz w:val="22"/>
        </w:rPr>
      </w:pPr>
      <w:r w:rsidRPr="00960D19">
        <w:rPr>
          <w:i/>
          <w:iCs/>
          <w:noProof/>
          <w:sz w:val="22"/>
        </w:rPr>
        <w:drawing>
          <wp:inline distT="0" distB="0" distL="0" distR="0" wp14:anchorId="5195B0D7" wp14:editId="1BBAE761">
            <wp:extent cx="4468228" cy="3252084"/>
            <wp:effectExtent l="19050" t="19050" r="27940" b="2476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481723" cy="3261906"/>
                    </a:xfrm>
                    <a:prstGeom prst="rect">
                      <a:avLst/>
                    </a:prstGeom>
                    <a:noFill/>
                    <a:ln>
                      <a:solidFill>
                        <a:schemeClr val="tx1"/>
                      </a:solidFill>
                    </a:ln>
                  </pic:spPr>
                </pic:pic>
              </a:graphicData>
            </a:graphic>
          </wp:inline>
        </w:drawing>
      </w:r>
    </w:p>
    <w:p w14:paraId="31E255CF" w14:textId="77777777" w:rsidR="00F70E20" w:rsidRDefault="00F70E20" w:rsidP="00F70E20">
      <w:pPr>
        <w:rPr>
          <w:b/>
          <w:bCs/>
        </w:rPr>
      </w:pPr>
    </w:p>
    <w:p w14:paraId="0751D383" w14:textId="785ADD55" w:rsidR="00F70E20" w:rsidRDefault="00F70E20" w:rsidP="00F70E20">
      <w:pPr>
        <w:rPr>
          <w:b/>
          <w:bCs/>
        </w:rPr>
      </w:pPr>
      <w:r w:rsidRPr="001C3912">
        <w:rPr>
          <w:b/>
          <w:bCs/>
        </w:rPr>
        <w:t xml:space="preserve">Figure </w:t>
      </w:r>
      <w:r>
        <w:rPr>
          <w:b/>
          <w:bCs/>
        </w:rPr>
        <w:t>2</w:t>
      </w:r>
      <w:r w:rsidRPr="001C3912">
        <w:rPr>
          <w:b/>
          <w:bCs/>
        </w:rPr>
        <w:t>:</w:t>
      </w:r>
      <w:r>
        <w:rPr>
          <w:b/>
          <w:bCs/>
        </w:rPr>
        <w:t xml:space="preserve"> Predicted level of pre-IPO foreign sales (FSTS)</w:t>
      </w:r>
    </w:p>
    <w:p w14:paraId="692BF4A5" w14:textId="77777777" w:rsidR="00F70E20" w:rsidRPr="001C3912" w:rsidRDefault="00F70E20" w:rsidP="00F70E20">
      <w:pPr>
        <w:rPr>
          <w:b/>
          <w:bCs/>
        </w:rPr>
      </w:pPr>
    </w:p>
    <w:p w14:paraId="565556A6" w14:textId="65646325" w:rsidR="00F70E20" w:rsidRPr="00CB425F" w:rsidRDefault="00960D19" w:rsidP="00F70E20">
      <w:pPr>
        <w:rPr>
          <w:sz w:val="22"/>
        </w:rPr>
      </w:pPr>
      <w:r w:rsidRPr="00960D19">
        <w:rPr>
          <w:noProof/>
          <w:sz w:val="22"/>
        </w:rPr>
        <w:drawing>
          <wp:inline distT="0" distB="0" distL="0" distR="0" wp14:anchorId="2543A7D4" wp14:editId="1765225C">
            <wp:extent cx="4516348" cy="3287106"/>
            <wp:effectExtent l="19050" t="19050" r="17780" b="279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528109" cy="3295666"/>
                    </a:xfrm>
                    <a:prstGeom prst="rect">
                      <a:avLst/>
                    </a:prstGeom>
                    <a:noFill/>
                    <a:ln>
                      <a:solidFill>
                        <a:schemeClr val="tx1"/>
                      </a:solidFill>
                    </a:ln>
                  </pic:spPr>
                </pic:pic>
              </a:graphicData>
            </a:graphic>
          </wp:inline>
        </w:drawing>
      </w:r>
    </w:p>
    <w:p w14:paraId="597876DC" w14:textId="2DBA1B75" w:rsidR="0065441D" w:rsidRPr="00CB425F" w:rsidRDefault="0065441D" w:rsidP="00F70E20">
      <w:pPr>
        <w:rPr>
          <w:sz w:val="22"/>
        </w:rPr>
      </w:pPr>
    </w:p>
    <w:sectPr w:rsidR="0065441D" w:rsidRPr="00CB425F" w:rsidSect="00F70E20">
      <w:pgSz w:w="12240" w:h="15840"/>
      <w:pgMar w:top="1440" w:right="1440" w:bottom="1440" w:left="1440" w:header="720" w:footer="34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2274B3" w14:textId="77777777" w:rsidR="007C36FF" w:rsidRDefault="007C36FF" w:rsidP="00024AA2">
      <w:r>
        <w:separator/>
      </w:r>
    </w:p>
  </w:endnote>
  <w:endnote w:type="continuationSeparator" w:id="0">
    <w:p w14:paraId="34D60F0B" w14:textId="77777777" w:rsidR="007C36FF" w:rsidRDefault="007C36FF" w:rsidP="00024A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7E9660" w14:textId="77777777" w:rsidR="00F70E20" w:rsidRDefault="00F70E20">
    <w:pPr>
      <w:pStyle w:val="Footer"/>
    </w:pPr>
  </w:p>
  <w:p w14:paraId="593A20DB" w14:textId="77777777" w:rsidR="00DE29ED" w:rsidRDefault="00DE29ED"/>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79176465"/>
      <w:docPartObj>
        <w:docPartGallery w:val="Page Numbers (Bottom of Page)"/>
        <w:docPartUnique/>
      </w:docPartObj>
    </w:sdtPr>
    <w:sdtEndPr>
      <w:rPr>
        <w:noProof/>
      </w:rPr>
    </w:sdtEndPr>
    <w:sdtContent>
      <w:p w14:paraId="46AEFA1D" w14:textId="347AE8DD" w:rsidR="00884C8C" w:rsidRDefault="00884C8C">
        <w:pPr>
          <w:pStyle w:val="Footer"/>
          <w:jc w:val="center"/>
        </w:pPr>
        <w:r>
          <w:fldChar w:fldCharType="begin"/>
        </w:r>
        <w:r>
          <w:instrText xml:space="preserve"> PAGE   \* MERGEFORMAT </w:instrText>
        </w:r>
        <w:r>
          <w:fldChar w:fldCharType="separate"/>
        </w:r>
        <w:r>
          <w:rPr>
            <w:noProof/>
          </w:rPr>
          <w:t>42</w:t>
        </w:r>
        <w:r>
          <w:rPr>
            <w:noProof/>
          </w:rPr>
          <w:fldChar w:fldCharType="end"/>
        </w:r>
      </w:p>
    </w:sdtContent>
  </w:sdt>
  <w:p w14:paraId="65350C6C" w14:textId="77777777" w:rsidR="00884C8C" w:rsidRDefault="00884C8C">
    <w:pPr>
      <w:pStyle w:val="Footer"/>
    </w:pPr>
  </w:p>
  <w:p w14:paraId="0C3F6E72" w14:textId="77777777" w:rsidR="00DE29ED" w:rsidRDefault="00DE29ED"/>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43296A" w14:textId="77777777" w:rsidR="004B0ECE" w:rsidRDefault="004B0EC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EF5383" w14:textId="77777777" w:rsidR="00F70E20" w:rsidRDefault="00F70E2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90273671"/>
      <w:docPartObj>
        <w:docPartGallery w:val="Page Numbers (Bottom of Page)"/>
        <w:docPartUnique/>
      </w:docPartObj>
    </w:sdtPr>
    <w:sdtEndPr>
      <w:rPr>
        <w:noProof/>
      </w:rPr>
    </w:sdtEndPr>
    <w:sdtContent>
      <w:p w14:paraId="2E8F3C54" w14:textId="77777777" w:rsidR="00F70E20" w:rsidRDefault="00F70E20">
        <w:pPr>
          <w:pStyle w:val="Footer"/>
          <w:jc w:val="center"/>
        </w:pPr>
        <w:r>
          <w:fldChar w:fldCharType="begin"/>
        </w:r>
        <w:r>
          <w:instrText xml:space="preserve"> PAGE   \* MERGEFORMAT </w:instrText>
        </w:r>
        <w:r>
          <w:fldChar w:fldCharType="separate"/>
        </w:r>
        <w:r>
          <w:rPr>
            <w:noProof/>
          </w:rPr>
          <w:t>42</w:t>
        </w:r>
        <w:r>
          <w:rPr>
            <w:noProof/>
          </w:rPr>
          <w:fldChar w:fldCharType="end"/>
        </w:r>
      </w:p>
    </w:sdtContent>
  </w:sdt>
  <w:p w14:paraId="480A1CBC" w14:textId="77777777" w:rsidR="00F70E20" w:rsidRDefault="00F70E2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B52C6C" w14:textId="77777777" w:rsidR="00F70E20" w:rsidRDefault="00F70E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B32011" w14:textId="77777777" w:rsidR="007C36FF" w:rsidRDefault="007C36FF" w:rsidP="00024AA2">
      <w:r>
        <w:separator/>
      </w:r>
    </w:p>
  </w:footnote>
  <w:footnote w:type="continuationSeparator" w:id="0">
    <w:p w14:paraId="5A761987" w14:textId="77777777" w:rsidR="007C36FF" w:rsidRDefault="007C36FF" w:rsidP="00024A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A94992" w14:textId="77777777" w:rsidR="00F70E20" w:rsidRDefault="00F70E20">
    <w:pPr>
      <w:pStyle w:val="Header"/>
    </w:pPr>
  </w:p>
  <w:p w14:paraId="047FB1DB" w14:textId="77777777" w:rsidR="00DE29ED" w:rsidRDefault="00DE29ED"/>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DAEE2A" w14:textId="77777777" w:rsidR="00F70E20" w:rsidRDefault="00F70E20">
    <w:pPr>
      <w:pStyle w:val="Header"/>
    </w:pPr>
  </w:p>
  <w:p w14:paraId="24F291F1" w14:textId="77777777" w:rsidR="00DE29ED" w:rsidRDefault="00DE29ED"/>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709A87" w14:textId="77777777" w:rsidR="004B0ECE" w:rsidRDefault="004B0EC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2E6546" w14:textId="77777777" w:rsidR="00F70E20" w:rsidRDefault="00F70E2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6263BB" w14:textId="77777777" w:rsidR="00F70E20" w:rsidRDefault="00F70E20">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3F9176" w14:textId="77777777" w:rsidR="00F70E20" w:rsidRDefault="00F70E2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9B7D57"/>
    <w:multiLevelType w:val="multilevel"/>
    <w:tmpl w:val="3C2603FC"/>
    <w:lvl w:ilvl="0">
      <w:start w:val="3"/>
      <w:numFmt w:val="decimal"/>
      <w:lvlText w:val="%1."/>
      <w:lvlJc w:val="left"/>
      <w:pPr>
        <w:ind w:left="4860" w:hanging="360"/>
      </w:pPr>
      <w:rPr>
        <w:rFonts w:hint="default"/>
      </w:rPr>
    </w:lvl>
    <w:lvl w:ilvl="1">
      <w:start w:val="3"/>
      <w:numFmt w:val="decimal"/>
      <w:isLgl/>
      <w:lvlText w:val="%1.%2"/>
      <w:lvlJc w:val="left"/>
      <w:pPr>
        <w:ind w:left="5850" w:hanging="360"/>
      </w:pPr>
      <w:rPr>
        <w:rFonts w:hint="default"/>
      </w:rPr>
    </w:lvl>
    <w:lvl w:ilvl="2">
      <w:start w:val="1"/>
      <w:numFmt w:val="decimal"/>
      <w:isLgl/>
      <w:lvlText w:val="%1.%2.%3"/>
      <w:lvlJc w:val="left"/>
      <w:pPr>
        <w:ind w:left="5220" w:hanging="720"/>
      </w:pPr>
      <w:rPr>
        <w:rFonts w:hint="default"/>
      </w:rPr>
    </w:lvl>
    <w:lvl w:ilvl="3">
      <w:start w:val="1"/>
      <w:numFmt w:val="decimal"/>
      <w:isLgl/>
      <w:lvlText w:val="%1.%2.%3.%4"/>
      <w:lvlJc w:val="left"/>
      <w:pPr>
        <w:ind w:left="5220" w:hanging="720"/>
      </w:pPr>
      <w:rPr>
        <w:rFonts w:hint="default"/>
      </w:rPr>
    </w:lvl>
    <w:lvl w:ilvl="4">
      <w:start w:val="1"/>
      <w:numFmt w:val="decimal"/>
      <w:isLgl/>
      <w:lvlText w:val="%1.%2.%3.%4.%5"/>
      <w:lvlJc w:val="left"/>
      <w:pPr>
        <w:ind w:left="5580" w:hanging="1080"/>
      </w:pPr>
      <w:rPr>
        <w:rFonts w:hint="default"/>
      </w:rPr>
    </w:lvl>
    <w:lvl w:ilvl="5">
      <w:start w:val="1"/>
      <w:numFmt w:val="decimal"/>
      <w:isLgl/>
      <w:lvlText w:val="%1.%2.%3.%4.%5.%6"/>
      <w:lvlJc w:val="left"/>
      <w:pPr>
        <w:ind w:left="5580" w:hanging="1080"/>
      </w:pPr>
      <w:rPr>
        <w:rFonts w:hint="default"/>
      </w:rPr>
    </w:lvl>
    <w:lvl w:ilvl="6">
      <w:start w:val="1"/>
      <w:numFmt w:val="decimal"/>
      <w:isLgl/>
      <w:lvlText w:val="%1.%2.%3.%4.%5.%6.%7"/>
      <w:lvlJc w:val="left"/>
      <w:pPr>
        <w:ind w:left="5940" w:hanging="1440"/>
      </w:pPr>
      <w:rPr>
        <w:rFonts w:hint="default"/>
      </w:rPr>
    </w:lvl>
    <w:lvl w:ilvl="7">
      <w:start w:val="1"/>
      <w:numFmt w:val="decimal"/>
      <w:isLgl/>
      <w:lvlText w:val="%1.%2.%3.%4.%5.%6.%7.%8"/>
      <w:lvlJc w:val="left"/>
      <w:pPr>
        <w:ind w:left="5940" w:hanging="1440"/>
      </w:pPr>
      <w:rPr>
        <w:rFonts w:hint="default"/>
      </w:rPr>
    </w:lvl>
    <w:lvl w:ilvl="8">
      <w:start w:val="1"/>
      <w:numFmt w:val="decimal"/>
      <w:isLgl/>
      <w:lvlText w:val="%1.%2.%3.%4.%5.%6.%7.%8.%9"/>
      <w:lvlJc w:val="left"/>
      <w:pPr>
        <w:ind w:left="6300" w:hanging="1800"/>
      </w:pPr>
      <w:rPr>
        <w:rFonts w:hint="default"/>
      </w:rPr>
    </w:lvl>
  </w:abstractNum>
  <w:abstractNum w:abstractNumId="1" w15:restartNumberingAfterBreak="0">
    <w:nsid w:val="0BD6557B"/>
    <w:multiLevelType w:val="hybridMultilevel"/>
    <w:tmpl w:val="4CDAB99C"/>
    <w:lvl w:ilvl="0" w:tplc="3BFCA476">
      <w:start w:val="1"/>
      <w:numFmt w:val="decimal"/>
      <w:lvlText w:val="%1"/>
      <w:lvlJc w:val="left"/>
      <w:pPr>
        <w:ind w:left="360" w:hanging="360"/>
      </w:pPr>
      <w:rPr>
        <w:rFonts w:hint="default"/>
        <w:vertAlign w:val="superscrip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1186B9A"/>
    <w:multiLevelType w:val="hybridMultilevel"/>
    <w:tmpl w:val="3F8AEF6E"/>
    <w:lvl w:ilvl="0" w:tplc="6AD866B8">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9F5908"/>
    <w:multiLevelType w:val="hybridMultilevel"/>
    <w:tmpl w:val="7A162E52"/>
    <w:lvl w:ilvl="0" w:tplc="B216AABC">
      <w:start w:val="5"/>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BB224E4"/>
    <w:multiLevelType w:val="hybridMultilevel"/>
    <w:tmpl w:val="DDC42412"/>
    <w:lvl w:ilvl="0" w:tplc="29E0E20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AA3796"/>
    <w:multiLevelType w:val="hybridMultilevel"/>
    <w:tmpl w:val="B6068F02"/>
    <w:lvl w:ilvl="0" w:tplc="27A65D2C">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5E16BB4"/>
    <w:multiLevelType w:val="hybridMultilevel"/>
    <w:tmpl w:val="10C8494E"/>
    <w:lvl w:ilvl="0" w:tplc="853E35D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6DA2724"/>
    <w:multiLevelType w:val="hybridMultilevel"/>
    <w:tmpl w:val="02C824DE"/>
    <w:lvl w:ilvl="0" w:tplc="68A26CE4">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9735405"/>
    <w:multiLevelType w:val="hybridMultilevel"/>
    <w:tmpl w:val="30C66D0C"/>
    <w:lvl w:ilvl="0" w:tplc="231405DC">
      <w:start w:val="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B4705E3"/>
    <w:multiLevelType w:val="hybridMultilevel"/>
    <w:tmpl w:val="366A08EE"/>
    <w:lvl w:ilvl="0" w:tplc="BB620E98">
      <w:start w:val="68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CFC099C"/>
    <w:multiLevelType w:val="hybridMultilevel"/>
    <w:tmpl w:val="B882EC56"/>
    <w:lvl w:ilvl="0" w:tplc="E9DE82F6">
      <w:start w:val="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24243C3"/>
    <w:multiLevelType w:val="hybridMultilevel"/>
    <w:tmpl w:val="8638907A"/>
    <w:lvl w:ilvl="0" w:tplc="B762BB8C">
      <w:start w:val="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6995078"/>
    <w:multiLevelType w:val="multilevel"/>
    <w:tmpl w:val="7CF67D32"/>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39AC2FC4"/>
    <w:multiLevelType w:val="hybridMultilevel"/>
    <w:tmpl w:val="160E6868"/>
    <w:lvl w:ilvl="0" w:tplc="60E246D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18B3268"/>
    <w:multiLevelType w:val="hybridMultilevel"/>
    <w:tmpl w:val="59B8409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4BBB0FE9"/>
    <w:multiLevelType w:val="hybridMultilevel"/>
    <w:tmpl w:val="64186D4A"/>
    <w:lvl w:ilvl="0" w:tplc="7F1242BA">
      <w:start w:val="5"/>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5A81F82"/>
    <w:multiLevelType w:val="hybridMultilevel"/>
    <w:tmpl w:val="7D0EED46"/>
    <w:lvl w:ilvl="0" w:tplc="195C4AA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C6404FF"/>
    <w:multiLevelType w:val="hybridMultilevel"/>
    <w:tmpl w:val="9556A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C616C9C"/>
    <w:multiLevelType w:val="hybridMultilevel"/>
    <w:tmpl w:val="F98C0AA4"/>
    <w:lvl w:ilvl="0" w:tplc="2012B2E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6"/>
  </w:num>
  <w:num w:numId="3">
    <w:abstractNumId w:val="0"/>
  </w:num>
  <w:num w:numId="4">
    <w:abstractNumId w:val="18"/>
  </w:num>
  <w:num w:numId="5">
    <w:abstractNumId w:val="13"/>
  </w:num>
  <w:num w:numId="6">
    <w:abstractNumId w:val="15"/>
  </w:num>
  <w:num w:numId="7">
    <w:abstractNumId w:val="3"/>
  </w:num>
  <w:num w:numId="8">
    <w:abstractNumId w:val="9"/>
  </w:num>
  <w:num w:numId="9">
    <w:abstractNumId w:val="5"/>
  </w:num>
  <w:num w:numId="10">
    <w:abstractNumId w:val="10"/>
  </w:num>
  <w:num w:numId="11">
    <w:abstractNumId w:val="8"/>
  </w:num>
  <w:num w:numId="12">
    <w:abstractNumId w:val="11"/>
  </w:num>
  <w:num w:numId="13">
    <w:abstractNumId w:val="14"/>
  </w:num>
  <w:num w:numId="14">
    <w:abstractNumId w:val="1"/>
  </w:num>
  <w:num w:numId="15">
    <w:abstractNumId w:val="4"/>
  </w:num>
  <w:num w:numId="16">
    <w:abstractNumId w:val="2"/>
  </w:num>
  <w:num w:numId="17">
    <w:abstractNumId w:val="7"/>
  </w:num>
  <w:num w:numId="18">
    <w:abstractNumId w:val="16"/>
  </w:num>
  <w:num w:numId="1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proofState w:spelling="clean" w:grammar="clean"/>
  <w:defaultTabStop w:val="720"/>
  <w:characterSpacingControl w:val="doNotCompress"/>
  <w:hdrShapeDefaults>
    <o:shapedefaults v:ext="edit" spidmax="2050"/>
  </w:hdrShapeDefaults>
  <w:footnotePr>
    <w:footnote w:id="-1"/>
    <w:footnote w:id="0"/>
  </w:footnotePr>
  <w:endnotePr>
    <w:pos w:val="sectEnd"/>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2156"/>
    <w:rsid w:val="000005CA"/>
    <w:rsid w:val="00002A7E"/>
    <w:rsid w:val="0000392E"/>
    <w:rsid w:val="0000414A"/>
    <w:rsid w:val="00004320"/>
    <w:rsid w:val="00004EE3"/>
    <w:rsid w:val="00005351"/>
    <w:rsid w:val="0000557B"/>
    <w:rsid w:val="00005B9E"/>
    <w:rsid w:val="00007CBD"/>
    <w:rsid w:val="000108C2"/>
    <w:rsid w:val="00014C88"/>
    <w:rsid w:val="00015190"/>
    <w:rsid w:val="00015B18"/>
    <w:rsid w:val="0001635C"/>
    <w:rsid w:val="00016723"/>
    <w:rsid w:val="00016EDF"/>
    <w:rsid w:val="000175CF"/>
    <w:rsid w:val="00020EFB"/>
    <w:rsid w:val="0002231F"/>
    <w:rsid w:val="00024AA2"/>
    <w:rsid w:val="00024D4A"/>
    <w:rsid w:val="0002756C"/>
    <w:rsid w:val="00030005"/>
    <w:rsid w:val="00030F9B"/>
    <w:rsid w:val="00031366"/>
    <w:rsid w:val="00031C92"/>
    <w:rsid w:val="00032203"/>
    <w:rsid w:val="000323BE"/>
    <w:rsid w:val="00032A2C"/>
    <w:rsid w:val="000335BF"/>
    <w:rsid w:val="00033BCB"/>
    <w:rsid w:val="00036054"/>
    <w:rsid w:val="0004049C"/>
    <w:rsid w:val="00041F34"/>
    <w:rsid w:val="000423B1"/>
    <w:rsid w:val="00042CE9"/>
    <w:rsid w:val="00042E8C"/>
    <w:rsid w:val="000435F5"/>
    <w:rsid w:val="00047E55"/>
    <w:rsid w:val="00050C79"/>
    <w:rsid w:val="000514E9"/>
    <w:rsid w:val="00052FE8"/>
    <w:rsid w:val="00053865"/>
    <w:rsid w:val="00053AF0"/>
    <w:rsid w:val="00053DAC"/>
    <w:rsid w:val="00054581"/>
    <w:rsid w:val="00055291"/>
    <w:rsid w:val="00056781"/>
    <w:rsid w:val="0006074E"/>
    <w:rsid w:val="00060ACC"/>
    <w:rsid w:val="00060FD3"/>
    <w:rsid w:val="00061590"/>
    <w:rsid w:val="0006160F"/>
    <w:rsid w:val="000621F3"/>
    <w:rsid w:val="0006224B"/>
    <w:rsid w:val="00063AFF"/>
    <w:rsid w:val="00066168"/>
    <w:rsid w:val="00066387"/>
    <w:rsid w:val="000714BB"/>
    <w:rsid w:val="00071F04"/>
    <w:rsid w:val="0007285F"/>
    <w:rsid w:val="000729EC"/>
    <w:rsid w:val="00073B03"/>
    <w:rsid w:val="00074DE5"/>
    <w:rsid w:val="00080136"/>
    <w:rsid w:val="00080404"/>
    <w:rsid w:val="00080AD1"/>
    <w:rsid w:val="00082DA0"/>
    <w:rsid w:val="0008313D"/>
    <w:rsid w:val="0008317E"/>
    <w:rsid w:val="00083A11"/>
    <w:rsid w:val="00083D66"/>
    <w:rsid w:val="00084228"/>
    <w:rsid w:val="0008551E"/>
    <w:rsid w:val="00087212"/>
    <w:rsid w:val="0008729E"/>
    <w:rsid w:val="000873C2"/>
    <w:rsid w:val="00090FF6"/>
    <w:rsid w:val="00091169"/>
    <w:rsid w:val="0009129C"/>
    <w:rsid w:val="00091B2E"/>
    <w:rsid w:val="00092A9B"/>
    <w:rsid w:val="00096DC3"/>
    <w:rsid w:val="000979B6"/>
    <w:rsid w:val="00097CAD"/>
    <w:rsid w:val="000A019D"/>
    <w:rsid w:val="000A062F"/>
    <w:rsid w:val="000A08D0"/>
    <w:rsid w:val="000A0FD1"/>
    <w:rsid w:val="000A1414"/>
    <w:rsid w:val="000A2238"/>
    <w:rsid w:val="000A36E2"/>
    <w:rsid w:val="000A38BF"/>
    <w:rsid w:val="000A3FD5"/>
    <w:rsid w:val="000A4F0D"/>
    <w:rsid w:val="000A51D7"/>
    <w:rsid w:val="000A6107"/>
    <w:rsid w:val="000A66D7"/>
    <w:rsid w:val="000A6CC4"/>
    <w:rsid w:val="000B030C"/>
    <w:rsid w:val="000B045E"/>
    <w:rsid w:val="000B0ABF"/>
    <w:rsid w:val="000B33A6"/>
    <w:rsid w:val="000B3AF1"/>
    <w:rsid w:val="000B3E91"/>
    <w:rsid w:val="000B4037"/>
    <w:rsid w:val="000B471F"/>
    <w:rsid w:val="000B4924"/>
    <w:rsid w:val="000B4BEF"/>
    <w:rsid w:val="000B6A8E"/>
    <w:rsid w:val="000B6B65"/>
    <w:rsid w:val="000B738D"/>
    <w:rsid w:val="000C022D"/>
    <w:rsid w:val="000C0A44"/>
    <w:rsid w:val="000C0BCD"/>
    <w:rsid w:val="000C2468"/>
    <w:rsid w:val="000C2951"/>
    <w:rsid w:val="000C33BD"/>
    <w:rsid w:val="000C3B88"/>
    <w:rsid w:val="000C4111"/>
    <w:rsid w:val="000C70FC"/>
    <w:rsid w:val="000C7AAE"/>
    <w:rsid w:val="000D07C3"/>
    <w:rsid w:val="000D0946"/>
    <w:rsid w:val="000D19D6"/>
    <w:rsid w:val="000D1E67"/>
    <w:rsid w:val="000D2F5C"/>
    <w:rsid w:val="000D482F"/>
    <w:rsid w:val="000D4B95"/>
    <w:rsid w:val="000D7059"/>
    <w:rsid w:val="000D7D39"/>
    <w:rsid w:val="000E0D0D"/>
    <w:rsid w:val="000E1087"/>
    <w:rsid w:val="000E118E"/>
    <w:rsid w:val="000E14F3"/>
    <w:rsid w:val="000E1846"/>
    <w:rsid w:val="000E2534"/>
    <w:rsid w:val="000E28AB"/>
    <w:rsid w:val="000E332F"/>
    <w:rsid w:val="000E57E3"/>
    <w:rsid w:val="000E5D6C"/>
    <w:rsid w:val="000E7161"/>
    <w:rsid w:val="000F0F41"/>
    <w:rsid w:val="000F111C"/>
    <w:rsid w:val="000F185B"/>
    <w:rsid w:val="000F365F"/>
    <w:rsid w:val="000F3AE1"/>
    <w:rsid w:val="000F437A"/>
    <w:rsid w:val="000F4546"/>
    <w:rsid w:val="000F5859"/>
    <w:rsid w:val="000F6067"/>
    <w:rsid w:val="000F675D"/>
    <w:rsid w:val="000F69AB"/>
    <w:rsid w:val="00101FF0"/>
    <w:rsid w:val="001020FA"/>
    <w:rsid w:val="00103A20"/>
    <w:rsid w:val="00103EEE"/>
    <w:rsid w:val="0010516B"/>
    <w:rsid w:val="001059D3"/>
    <w:rsid w:val="001059FB"/>
    <w:rsid w:val="00105DB6"/>
    <w:rsid w:val="00106AAE"/>
    <w:rsid w:val="00106F0A"/>
    <w:rsid w:val="0011157D"/>
    <w:rsid w:val="00111AD7"/>
    <w:rsid w:val="00112CEB"/>
    <w:rsid w:val="00113824"/>
    <w:rsid w:val="001139C3"/>
    <w:rsid w:val="00113A27"/>
    <w:rsid w:val="0011443A"/>
    <w:rsid w:val="0011464F"/>
    <w:rsid w:val="00114BA1"/>
    <w:rsid w:val="00115593"/>
    <w:rsid w:val="0011624C"/>
    <w:rsid w:val="00116999"/>
    <w:rsid w:val="001169CF"/>
    <w:rsid w:val="00117919"/>
    <w:rsid w:val="0012117B"/>
    <w:rsid w:val="00122740"/>
    <w:rsid w:val="00123BA7"/>
    <w:rsid w:val="00123C9E"/>
    <w:rsid w:val="0012452D"/>
    <w:rsid w:val="00124636"/>
    <w:rsid w:val="0012504B"/>
    <w:rsid w:val="00125621"/>
    <w:rsid w:val="00125B1D"/>
    <w:rsid w:val="00126082"/>
    <w:rsid w:val="00126264"/>
    <w:rsid w:val="001264DE"/>
    <w:rsid w:val="0012658A"/>
    <w:rsid w:val="00130F6D"/>
    <w:rsid w:val="0013126F"/>
    <w:rsid w:val="0013133E"/>
    <w:rsid w:val="00131A40"/>
    <w:rsid w:val="00131F9D"/>
    <w:rsid w:val="00132760"/>
    <w:rsid w:val="00132A80"/>
    <w:rsid w:val="001333CF"/>
    <w:rsid w:val="001335CE"/>
    <w:rsid w:val="00134A5D"/>
    <w:rsid w:val="00136627"/>
    <w:rsid w:val="001366CD"/>
    <w:rsid w:val="00137CA5"/>
    <w:rsid w:val="00137DD2"/>
    <w:rsid w:val="00141A5D"/>
    <w:rsid w:val="00141C68"/>
    <w:rsid w:val="00142735"/>
    <w:rsid w:val="0014363C"/>
    <w:rsid w:val="00144791"/>
    <w:rsid w:val="0014545D"/>
    <w:rsid w:val="001466B1"/>
    <w:rsid w:val="00146CFD"/>
    <w:rsid w:val="0014710C"/>
    <w:rsid w:val="00147BE6"/>
    <w:rsid w:val="001515A1"/>
    <w:rsid w:val="0015193F"/>
    <w:rsid w:val="0015286B"/>
    <w:rsid w:val="001528E8"/>
    <w:rsid w:val="001543B6"/>
    <w:rsid w:val="0015506D"/>
    <w:rsid w:val="001578B6"/>
    <w:rsid w:val="00160030"/>
    <w:rsid w:val="00160231"/>
    <w:rsid w:val="0016209E"/>
    <w:rsid w:val="0016236C"/>
    <w:rsid w:val="00163788"/>
    <w:rsid w:val="00164625"/>
    <w:rsid w:val="001656A3"/>
    <w:rsid w:val="00166381"/>
    <w:rsid w:val="00171CD4"/>
    <w:rsid w:val="00172B24"/>
    <w:rsid w:val="0017391D"/>
    <w:rsid w:val="00173C15"/>
    <w:rsid w:val="00174D25"/>
    <w:rsid w:val="00175E9A"/>
    <w:rsid w:val="00176037"/>
    <w:rsid w:val="00177068"/>
    <w:rsid w:val="0018025F"/>
    <w:rsid w:val="00180467"/>
    <w:rsid w:val="00181018"/>
    <w:rsid w:val="0018120D"/>
    <w:rsid w:val="0018276B"/>
    <w:rsid w:val="001839CB"/>
    <w:rsid w:val="00183ECB"/>
    <w:rsid w:val="001841FB"/>
    <w:rsid w:val="00184909"/>
    <w:rsid w:val="001858FD"/>
    <w:rsid w:val="00186056"/>
    <w:rsid w:val="00191766"/>
    <w:rsid w:val="0019191E"/>
    <w:rsid w:val="001929BC"/>
    <w:rsid w:val="00192C3B"/>
    <w:rsid w:val="00193C2A"/>
    <w:rsid w:val="00193D7D"/>
    <w:rsid w:val="001940E6"/>
    <w:rsid w:val="00194154"/>
    <w:rsid w:val="001947E6"/>
    <w:rsid w:val="00194AB7"/>
    <w:rsid w:val="00195118"/>
    <w:rsid w:val="00196164"/>
    <w:rsid w:val="001964D4"/>
    <w:rsid w:val="001A033A"/>
    <w:rsid w:val="001A19E4"/>
    <w:rsid w:val="001A25E2"/>
    <w:rsid w:val="001A2ED3"/>
    <w:rsid w:val="001A336D"/>
    <w:rsid w:val="001A7FDF"/>
    <w:rsid w:val="001B1F8E"/>
    <w:rsid w:val="001B2042"/>
    <w:rsid w:val="001B2EE7"/>
    <w:rsid w:val="001B4041"/>
    <w:rsid w:val="001B4BF0"/>
    <w:rsid w:val="001B5183"/>
    <w:rsid w:val="001B58AD"/>
    <w:rsid w:val="001B6CC2"/>
    <w:rsid w:val="001B77F5"/>
    <w:rsid w:val="001C03B3"/>
    <w:rsid w:val="001C0BBA"/>
    <w:rsid w:val="001C1037"/>
    <w:rsid w:val="001C166C"/>
    <w:rsid w:val="001C16A0"/>
    <w:rsid w:val="001C25FF"/>
    <w:rsid w:val="001C3912"/>
    <w:rsid w:val="001C3D1F"/>
    <w:rsid w:val="001C4759"/>
    <w:rsid w:val="001C4AF4"/>
    <w:rsid w:val="001C526E"/>
    <w:rsid w:val="001C5957"/>
    <w:rsid w:val="001C72C3"/>
    <w:rsid w:val="001D18D3"/>
    <w:rsid w:val="001D3366"/>
    <w:rsid w:val="001D5E54"/>
    <w:rsid w:val="001E0E08"/>
    <w:rsid w:val="001E1651"/>
    <w:rsid w:val="001E2F09"/>
    <w:rsid w:val="001E3FF4"/>
    <w:rsid w:val="001E5AA2"/>
    <w:rsid w:val="001E5AE0"/>
    <w:rsid w:val="001E6690"/>
    <w:rsid w:val="001E67FD"/>
    <w:rsid w:val="001E6993"/>
    <w:rsid w:val="001E73ED"/>
    <w:rsid w:val="001E7E1B"/>
    <w:rsid w:val="001E7E97"/>
    <w:rsid w:val="001F0725"/>
    <w:rsid w:val="001F1482"/>
    <w:rsid w:val="001F15BD"/>
    <w:rsid w:val="001F2CFA"/>
    <w:rsid w:val="001F304A"/>
    <w:rsid w:val="001F40FD"/>
    <w:rsid w:val="001F4741"/>
    <w:rsid w:val="001F4AB1"/>
    <w:rsid w:val="001F5F59"/>
    <w:rsid w:val="001F74F5"/>
    <w:rsid w:val="00202586"/>
    <w:rsid w:val="00202A44"/>
    <w:rsid w:val="00202C8E"/>
    <w:rsid w:val="00202D38"/>
    <w:rsid w:val="00203116"/>
    <w:rsid w:val="00204876"/>
    <w:rsid w:val="00206090"/>
    <w:rsid w:val="002061AF"/>
    <w:rsid w:val="00206AE2"/>
    <w:rsid w:val="00206EA0"/>
    <w:rsid w:val="002079EA"/>
    <w:rsid w:val="00210329"/>
    <w:rsid w:val="00213157"/>
    <w:rsid w:val="002133B5"/>
    <w:rsid w:val="002145FC"/>
    <w:rsid w:val="00214C72"/>
    <w:rsid w:val="002152EB"/>
    <w:rsid w:val="00216E2A"/>
    <w:rsid w:val="00217CFD"/>
    <w:rsid w:val="00221C05"/>
    <w:rsid w:val="002222DE"/>
    <w:rsid w:val="00222570"/>
    <w:rsid w:val="00222626"/>
    <w:rsid w:val="00224915"/>
    <w:rsid w:val="00224B1D"/>
    <w:rsid w:val="00227EBF"/>
    <w:rsid w:val="002330F1"/>
    <w:rsid w:val="00233695"/>
    <w:rsid w:val="00233D0C"/>
    <w:rsid w:val="00235B36"/>
    <w:rsid w:val="00236A59"/>
    <w:rsid w:val="002404C5"/>
    <w:rsid w:val="0024118B"/>
    <w:rsid w:val="00242AEB"/>
    <w:rsid w:val="002435E6"/>
    <w:rsid w:val="00243CFC"/>
    <w:rsid w:val="00244DF0"/>
    <w:rsid w:val="0024500C"/>
    <w:rsid w:val="00245604"/>
    <w:rsid w:val="00245C89"/>
    <w:rsid w:val="00246769"/>
    <w:rsid w:val="0024773F"/>
    <w:rsid w:val="00247BEE"/>
    <w:rsid w:val="00247DA9"/>
    <w:rsid w:val="002502C1"/>
    <w:rsid w:val="00251332"/>
    <w:rsid w:val="0025180B"/>
    <w:rsid w:val="00252A46"/>
    <w:rsid w:val="00253894"/>
    <w:rsid w:val="00254372"/>
    <w:rsid w:val="002544E4"/>
    <w:rsid w:val="002545EA"/>
    <w:rsid w:val="002546D3"/>
    <w:rsid w:val="00255D6F"/>
    <w:rsid w:val="00257167"/>
    <w:rsid w:val="002574FB"/>
    <w:rsid w:val="002574FF"/>
    <w:rsid w:val="00257C0D"/>
    <w:rsid w:val="00260886"/>
    <w:rsid w:val="00260A16"/>
    <w:rsid w:val="00262481"/>
    <w:rsid w:val="00262ADE"/>
    <w:rsid w:val="00262E8F"/>
    <w:rsid w:val="0026332E"/>
    <w:rsid w:val="0026527C"/>
    <w:rsid w:val="00265A4F"/>
    <w:rsid w:val="00266E97"/>
    <w:rsid w:val="002715E0"/>
    <w:rsid w:val="00271843"/>
    <w:rsid w:val="002718A9"/>
    <w:rsid w:val="00271C5A"/>
    <w:rsid w:val="0027203C"/>
    <w:rsid w:val="00272E85"/>
    <w:rsid w:val="002735EB"/>
    <w:rsid w:val="0027408C"/>
    <w:rsid w:val="00274931"/>
    <w:rsid w:val="002800D1"/>
    <w:rsid w:val="00282025"/>
    <w:rsid w:val="00282532"/>
    <w:rsid w:val="00282DF0"/>
    <w:rsid w:val="002835E2"/>
    <w:rsid w:val="00283A94"/>
    <w:rsid w:val="00283E5B"/>
    <w:rsid w:val="002862E3"/>
    <w:rsid w:val="002872DE"/>
    <w:rsid w:val="002873C7"/>
    <w:rsid w:val="00287586"/>
    <w:rsid w:val="0028765F"/>
    <w:rsid w:val="00287E30"/>
    <w:rsid w:val="0029124C"/>
    <w:rsid w:val="002912A9"/>
    <w:rsid w:val="00292311"/>
    <w:rsid w:val="0029248F"/>
    <w:rsid w:val="002929E3"/>
    <w:rsid w:val="00295948"/>
    <w:rsid w:val="00295953"/>
    <w:rsid w:val="0029714A"/>
    <w:rsid w:val="002973DA"/>
    <w:rsid w:val="002A03A7"/>
    <w:rsid w:val="002A0FC6"/>
    <w:rsid w:val="002A1C6D"/>
    <w:rsid w:val="002A2FF6"/>
    <w:rsid w:val="002A443E"/>
    <w:rsid w:val="002A472C"/>
    <w:rsid w:val="002A5175"/>
    <w:rsid w:val="002A5F60"/>
    <w:rsid w:val="002B0065"/>
    <w:rsid w:val="002B2C5D"/>
    <w:rsid w:val="002B2E78"/>
    <w:rsid w:val="002B356C"/>
    <w:rsid w:val="002B3869"/>
    <w:rsid w:val="002B39BE"/>
    <w:rsid w:val="002B40D4"/>
    <w:rsid w:val="002B46B4"/>
    <w:rsid w:val="002B5A81"/>
    <w:rsid w:val="002B72D6"/>
    <w:rsid w:val="002C230B"/>
    <w:rsid w:val="002C2315"/>
    <w:rsid w:val="002C2872"/>
    <w:rsid w:val="002C4567"/>
    <w:rsid w:val="002C4655"/>
    <w:rsid w:val="002C476B"/>
    <w:rsid w:val="002C4C52"/>
    <w:rsid w:val="002C5265"/>
    <w:rsid w:val="002C5866"/>
    <w:rsid w:val="002C7F48"/>
    <w:rsid w:val="002D04F1"/>
    <w:rsid w:val="002D0AB5"/>
    <w:rsid w:val="002D219A"/>
    <w:rsid w:val="002D26D6"/>
    <w:rsid w:val="002D315B"/>
    <w:rsid w:val="002D3D9F"/>
    <w:rsid w:val="002D464D"/>
    <w:rsid w:val="002D5C1D"/>
    <w:rsid w:val="002D6528"/>
    <w:rsid w:val="002D65B2"/>
    <w:rsid w:val="002E068D"/>
    <w:rsid w:val="002E0E57"/>
    <w:rsid w:val="002E2DFA"/>
    <w:rsid w:val="002E3573"/>
    <w:rsid w:val="002E3666"/>
    <w:rsid w:val="002E5F1A"/>
    <w:rsid w:val="002E798E"/>
    <w:rsid w:val="002E7DDF"/>
    <w:rsid w:val="002F166B"/>
    <w:rsid w:val="002F1C3B"/>
    <w:rsid w:val="002F1EC0"/>
    <w:rsid w:val="002F2B5B"/>
    <w:rsid w:val="002F2BF1"/>
    <w:rsid w:val="002F2DEC"/>
    <w:rsid w:val="002F5764"/>
    <w:rsid w:val="002F5F89"/>
    <w:rsid w:val="002F6949"/>
    <w:rsid w:val="002F6A3D"/>
    <w:rsid w:val="002F7CC4"/>
    <w:rsid w:val="002F7D29"/>
    <w:rsid w:val="00300E3C"/>
    <w:rsid w:val="00301D9C"/>
    <w:rsid w:val="003023B7"/>
    <w:rsid w:val="003036D3"/>
    <w:rsid w:val="00303B8D"/>
    <w:rsid w:val="00303FF7"/>
    <w:rsid w:val="00305E83"/>
    <w:rsid w:val="00306D39"/>
    <w:rsid w:val="003107C8"/>
    <w:rsid w:val="00311AFC"/>
    <w:rsid w:val="00311B63"/>
    <w:rsid w:val="00313116"/>
    <w:rsid w:val="0031319E"/>
    <w:rsid w:val="0031396D"/>
    <w:rsid w:val="003146E0"/>
    <w:rsid w:val="00316D2F"/>
    <w:rsid w:val="00317766"/>
    <w:rsid w:val="00321538"/>
    <w:rsid w:val="0032172F"/>
    <w:rsid w:val="003217C0"/>
    <w:rsid w:val="0032281C"/>
    <w:rsid w:val="00322957"/>
    <w:rsid w:val="00323B09"/>
    <w:rsid w:val="00324666"/>
    <w:rsid w:val="00325073"/>
    <w:rsid w:val="0032698D"/>
    <w:rsid w:val="00326B0C"/>
    <w:rsid w:val="00326C2E"/>
    <w:rsid w:val="00327532"/>
    <w:rsid w:val="00330888"/>
    <w:rsid w:val="003317CE"/>
    <w:rsid w:val="00331DC9"/>
    <w:rsid w:val="003346A0"/>
    <w:rsid w:val="003348E1"/>
    <w:rsid w:val="003351C7"/>
    <w:rsid w:val="00335C42"/>
    <w:rsid w:val="0033652D"/>
    <w:rsid w:val="00336886"/>
    <w:rsid w:val="00337146"/>
    <w:rsid w:val="003412F9"/>
    <w:rsid w:val="00341B4D"/>
    <w:rsid w:val="00341E34"/>
    <w:rsid w:val="00342971"/>
    <w:rsid w:val="00342E7C"/>
    <w:rsid w:val="003434BA"/>
    <w:rsid w:val="003440EE"/>
    <w:rsid w:val="00345195"/>
    <w:rsid w:val="00345A23"/>
    <w:rsid w:val="003479EE"/>
    <w:rsid w:val="003503F7"/>
    <w:rsid w:val="003504BB"/>
    <w:rsid w:val="00350CE8"/>
    <w:rsid w:val="003511D4"/>
    <w:rsid w:val="00351757"/>
    <w:rsid w:val="00352C87"/>
    <w:rsid w:val="00353138"/>
    <w:rsid w:val="003532D1"/>
    <w:rsid w:val="003541FD"/>
    <w:rsid w:val="00354AE0"/>
    <w:rsid w:val="00355099"/>
    <w:rsid w:val="003553D0"/>
    <w:rsid w:val="003554AE"/>
    <w:rsid w:val="0035566F"/>
    <w:rsid w:val="0035623F"/>
    <w:rsid w:val="00357462"/>
    <w:rsid w:val="00357551"/>
    <w:rsid w:val="00357C87"/>
    <w:rsid w:val="00361E63"/>
    <w:rsid w:val="003629E5"/>
    <w:rsid w:val="00362A85"/>
    <w:rsid w:val="00363D96"/>
    <w:rsid w:val="0036475C"/>
    <w:rsid w:val="00366BD2"/>
    <w:rsid w:val="0036722C"/>
    <w:rsid w:val="003673AE"/>
    <w:rsid w:val="003677BE"/>
    <w:rsid w:val="00370856"/>
    <w:rsid w:val="003711E2"/>
    <w:rsid w:val="0037153D"/>
    <w:rsid w:val="0037287F"/>
    <w:rsid w:val="00372B5F"/>
    <w:rsid w:val="00373E8C"/>
    <w:rsid w:val="003744F7"/>
    <w:rsid w:val="003750B5"/>
    <w:rsid w:val="00375E1F"/>
    <w:rsid w:val="003760B3"/>
    <w:rsid w:val="00380F6B"/>
    <w:rsid w:val="00383856"/>
    <w:rsid w:val="00385ABA"/>
    <w:rsid w:val="00385F2D"/>
    <w:rsid w:val="00385F4B"/>
    <w:rsid w:val="00387E63"/>
    <w:rsid w:val="003901AD"/>
    <w:rsid w:val="00390F52"/>
    <w:rsid w:val="00394B59"/>
    <w:rsid w:val="0039583A"/>
    <w:rsid w:val="00395C7B"/>
    <w:rsid w:val="00396066"/>
    <w:rsid w:val="003A07D7"/>
    <w:rsid w:val="003A0C91"/>
    <w:rsid w:val="003A1856"/>
    <w:rsid w:val="003A28AB"/>
    <w:rsid w:val="003A2933"/>
    <w:rsid w:val="003A30E3"/>
    <w:rsid w:val="003A3884"/>
    <w:rsid w:val="003A405D"/>
    <w:rsid w:val="003A4538"/>
    <w:rsid w:val="003A4A15"/>
    <w:rsid w:val="003A4F50"/>
    <w:rsid w:val="003B0036"/>
    <w:rsid w:val="003B003B"/>
    <w:rsid w:val="003B09D1"/>
    <w:rsid w:val="003B1EB4"/>
    <w:rsid w:val="003B23B8"/>
    <w:rsid w:val="003B328E"/>
    <w:rsid w:val="003B3644"/>
    <w:rsid w:val="003B4799"/>
    <w:rsid w:val="003B4CD7"/>
    <w:rsid w:val="003C059D"/>
    <w:rsid w:val="003C151C"/>
    <w:rsid w:val="003C2248"/>
    <w:rsid w:val="003C2346"/>
    <w:rsid w:val="003C5005"/>
    <w:rsid w:val="003C55D5"/>
    <w:rsid w:val="003C6062"/>
    <w:rsid w:val="003C6E71"/>
    <w:rsid w:val="003C7C21"/>
    <w:rsid w:val="003C7DA4"/>
    <w:rsid w:val="003D044C"/>
    <w:rsid w:val="003D1306"/>
    <w:rsid w:val="003D21EC"/>
    <w:rsid w:val="003D2FC7"/>
    <w:rsid w:val="003D3202"/>
    <w:rsid w:val="003D3A70"/>
    <w:rsid w:val="003D4C46"/>
    <w:rsid w:val="003D4D9B"/>
    <w:rsid w:val="003D4E75"/>
    <w:rsid w:val="003D4FAB"/>
    <w:rsid w:val="003D5CBD"/>
    <w:rsid w:val="003D6B3B"/>
    <w:rsid w:val="003D7418"/>
    <w:rsid w:val="003E06B1"/>
    <w:rsid w:val="003E257E"/>
    <w:rsid w:val="003E2E06"/>
    <w:rsid w:val="003E2FB5"/>
    <w:rsid w:val="003E50BF"/>
    <w:rsid w:val="003E5725"/>
    <w:rsid w:val="003E6640"/>
    <w:rsid w:val="003E6774"/>
    <w:rsid w:val="003E7025"/>
    <w:rsid w:val="003F07D9"/>
    <w:rsid w:val="003F0934"/>
    <w:rsid w:val="003F26DC"/>
    <w:rsid w:val="003F280C"/>
    <w:rsid w:val="003F2D91"/>
    <w:rsid w:val="003F4E29"/>
    <w:rsid w:val="003F5D84"/>
    <w:rsid w:val="003F6056"/>
    <w:rsid w:val="003F623E"/>
    <w:rsid w:val="003F62B7"/>
    <w:rsid w:val="003F6C1A"/>
    <w:rsid w:val="003F70DD"/>
    <w:rsid w:val="003F7395"/>
    <w:rsid w:val="003F767B"/>
    <w:rsid w:val="00400A58"/>
    <w:rsid w:val="004030B4"/>
    <w:rsid w:val="00403B70"/>
    <w:rsid w:val="00404061"/>
    <w:rsid w:val="00404123"/>
    <w:rsid w:val="004043F8"/>
    <w:rsid w:val="004043FE"/>
    <w:rsid w:val="00404A04"/>
    <w:rsid w:val="00404CDB"/>
    <w:rsid w:val="00405F97"/>
    <w:rsid w:val="004075DF"/>
    <w:rsid w:val="00410CCD"/>
    <w:rsid w:val="004119A7"/>
    <w:rsid w:val="00411A3F"/>
    <w:rsid w:val="00411B07"/>
    <w:rsid w:val="00412AB6"/>
    <w:rsid w:val="0041454E"/>
    <w:rsid w:val="00414D92"/>
    <w:rsid w:val="00415769"/>
    <w:rsid w:val="00416C6C"/>
    <w:rsid w:val="00423931"/>
    <w:rsid w:val="00424CE1"/>
    <w:rsid w:val="00425546"/>
    <w:rsid w:val="004263A6"/>
    <w:rsid w:val="00426E7A"/>
    <w:rsid w:val="00427264"/>
    <w:rsid w:val="0042727C"/>
    <w:rsid w:val="0043020C"/>
    <w:rsid w:val="00431119"/>
    <w:rsid w:val="0043180E"/>
    <w:rsid w:val="004336F5"/>
    <w:rsid w:val="004338D8"/>
    <w:rsid w:val="00434012"/>
    <w:rsid w:val="004342AA"/>
    <w:rsid w:val="00434BB7"/>
    <w:rsid w:val="00434BBB"/>
    <w:rsid w:val="00436A13"/>
    <w:rsid w:val="00436F84"/>
    <w:rsid w:val="00437944"/>
    <w:rsid w:val="00437973"/>
    <w:rsid w:val="00437FA6"/>
    <w:rsid w:val="00440BBE"/>
    <w:rsid w:val="00440C6B"/>
    <w:rsid w:val="004459D5"/>
    <w:rsid w:val="00445DB7"/>
    <w:rsid w:val="00446603"/>
    <w:rsid w:val="00447BE7"/>
    <w:rsid w:val="00447F46"/>
    <w:rsid w:val="00450496"/>
    <w:rsid w:val="00450853"/>
    <w:rsid w:val="00450D4E"/>
    <w:rsid w:val="00450F8B"/>
    <w:rsid w:val="0045148C"/>
    <w:rsid w:val="0045191C"/>
    <w:rsid w:val="00452655"/>
    <w:rsid w:val="00453338"/>
    <w:rsid w:val="004535C4"/>
    <w:rsid w:val="00454824"/>
    <w:rsid w:val="004552EB"/>
    <w:rsid w:val="004555A6"/>
    <w:rsid w:val="004569FC"/>
    <w:rsid w:val="00456DF9"/>
    <w:rsid w:val="0045745E"/>
    <w:rsid w:val="00457617"/>
    <w:rsid w:val="00460CBA"/>
    <w:rsid w:val="0046129F"/>
    <w:rsid w:val="00461731"/>
    <w:rsid w:val="00462E77"/>
    <w:rsid w:val="00463B97"/>
    <w:rsid w:val="00463F6A"/>
    <w:rsid w:val="004650AF"/>
    <w:rsid w:val="00465CDB"/>
    <w:rsid w:val="004661D9"/>
    <w:rsid w:val="0047023E"/>
    <w:rsid w:val="00470991"/>
    <w:rsid w:val="00472A43"/>
    <w:rsid w:val="00472C33"/>
    <w:rsid w:val="004735C7"/>
    <w:rsid w:val="0047464E"/>
    <w:rsid w:val="00474F8F"/>
    <w:rsid w:val="00475470"/>
    <w:rsid w:val="004767A3"/>
    <w:rsid w:val="004773A6"/>
    <w:rsid w:val="00481C34"/>
    <w:rsid w:val="0048233C"/>
    <w:rsid w:val="00483D61"/>
    <w:rsid w:val="00483F13"/>
    <w:rsid w:val="00484D30"/>
    <w:rsid w:val="00485DEB"/>
    <w:rsid w:val="004867A5"/>
    <w:rsid w:val="00486F39"/>
    <w:rsid w:val="004870D4"/>
    <w:rsid w:val="00487A34"/>
    <w:rsid w:val="004902DA"/>
    <w:rsid w:val="004907CA"/>
    <w:rsid w:val="00491426"/>
    <w:rsid w:val="00492FE7"/>
    <w:rsid w:val="00494F7A"/>
    <w:rsid w:val="0049528A"/>
    <w:rsid w:val="00495608"/>
    <w:rsid w:val="0049627A"/>
    <w:rsid w:val="00497A63"/>
    <w:rsid w:val="004A014E"/>
    <w:rsid w:val="004A04FB"/>
    <w:rsid w:val="004A0B01"/>
    <w:rsid w:val="004A0C13"/>
    <w:rsid w:val="004A16E1"/>
    <w:rsid w:val="004A274E"/>
    <w:rsid w:val="004A3C25"/>
    <w:rsid w:val="004A45B6"/>
    <w:rsid w:val="004A5607"/>
    <w:rsid w:val="004A676C"/>
    <w:rsid w:val="004A6CF4"/>
    <w:rsid w:val="004B0076"/>
    <w:rsid w:val="004B04DC"/>
    <w:rsid w:val="004B0515"/>
    <w:rsid w:val="004B0ECE"/>
    <w:rsid w:val="004B2624"/>
    <w:rsid w:val="004B2A45"/>
    <w:rsid w:val="004B2D6C"/>
    <w:rsid w:val="004B33ED"/>
    <w:rsid w:val="004B3A5B"/>
    <w:rsid w:val="004B444D"/>
    <w:rsid w:val="004B5015"/>
    <w:rsid w:val="004B648A"/>
    <w:rsid w:val="004B6B95"/>
    <w:rsid w:val="004B78EE"/>
    <w:rsid w:val="004C4222"/>
    <w:rsid w:val="004C4C24"/>
    <w:rsid w:val="004C5596"/>
    <w:rsid w:val="004C5C66"/>
    <w:rsid w:val="004C6CC2"/>
    <w:rsid w:val="004C74F4"/>
    <w:rsid w:val="004C7758"/>
    <w:rsid w:val="004C77B8"/>
    <w:rsid w:val="004D0809"/>
    <w:rsid w:val="004D1049"/>
    <w:rsid w:val="004D2CB9"/>
    <w:rsid w:val="004D3AF8"/>
    <w:rsid w:val="004D57B7"/>
    <w:rsid w:val="004E0403"/>
    <w:rsid w:val="004E07BC"/>
    <w:rsid w:val="004E0B40"/>
    <w:rsid w:val="004E10C0"/>
    <w:rsid w:val="004E1541"/>
    <w:rsid w:val="004E1788"/>
    <w:rsid w:val="004E1EEF"/>
    <w:rsid w:val="004E2153"/>
    <w:rsid w:val="004E2982"/>
    <w:rsid w:val="004E2C3C"/>
    <w:rsid w:val="004E56AD"/>
    <w:rsid w:val="004E580E"/>
    <w:rsid w:val="004E5D75"/>
    <w:rsid w:val="004E619C"/>
    <w:rsid w:val="004E6A87"/>
    <w:rsid w:val="004E7A37"/>
    <w:rsid w:val="004E7F46"/>
    <w:rsid w:val="004F005B"/>
    <w:rsid w:val="004F04C6"/>
    <w:rsid w:val="004F0D99"/>
    <w:rsid w:val="004F0E47"/>
    <w:rsid w:val="004F0E7F"/>
    <w:rsid w:val="004F1D97"/>
    <w:rsid w:val="004F2687"/>
    <w:rsid w:val="004F5BCE"/>
    <w:rsid w:val="004F5CDD"/>
    <w:rsid w:val="004F6F11"/>
    <w:rsid w:val="0050023F"/>
    <w:rsid w:val="0050102A"/>
    <w:rsid w:val="00501566"/>
    <w:rsid w:val="00502A47"/>
    <w:rsid w:val="00502DB9"/>
    <w:rsid w:val="00503835"/>
    <w:rsid w:val="00504973"/>
    <w:rsid w:val="00504E5A"/>
    <w:rsid w:val="00507092"/>
    <w:rsid w:val="00511A31"/>
    <w:rsid w:val="00511BFC"/>
    <w:rsid w:val="00514761"/>
    <w:rsid w:val="00515822"/>
    <w:rsid w:val="00516238"/>
    <w:rsid w:val="00517553"/>
    <w:rsid w:val="00517B81"/>
    <w:rsid w:val="00521245"/>
    <w:rsid w:val="00521B78"/>
    <w:rsid w:val="00522C15"/>
    <w:rsid w:val="00523246"/>
    <w:rsid w:val="005233E7"/>
    <w:rsid w:val="00523C76"/>
    <w:rsid w:val="00524877"/>
    <w:rsid w:val="00524940"/>
    <w:rsid w:val="00524B73"/>
    <w:rsid w:val="005251DC"/>
    <w:rsid w:val="0052540A"/>
    <w:rsid w:val="00525455"/>
    <w:rsid w:val="00526219"/>
    <w:rsid w:val="005268F9"/>
    <w:rsid w:val="00526DD6"/>
    <w:rsid w:val="00526E55"/>
    <w:rsid w:val="00526E71"/>
    <w:rsid w:val="005278FD"/>
    <w:rsid w:val="00531037"/>
    <w:rsid w:val="00532974"/>
    <w:rsid w:val="00533277"/>
    <w:rsid w:val="00534852"/>
    <w:rsid w:val="00536BA8"/>
    <w:rsid w:val="00540894"/>
    <w:rsid w:val="00541028"/>
    <w:rsid w:val="00541E66"/>
    <w:rsid w:val="005434A3"/>
    <w:rsid w:val="00543C3C"/>
    <w:rsid w:val="005440E4"/>
    <w:rsid w:val="005443B2"/>
    <w:rsid w:val="005449E4"/>
    <w:rsid w:val="00547D1E"/>
    <w:rsid w:val="0055201A"/>
    <w:rsid w:val="0055284D"/>
    <w:rsid w:val="00553AF7"/>
    <w:rsid w:val="00553CEA"/>
    <w:rsid w:val="00553F21"/>
    <w:rsid w:val="005542F3"/>
    <w:rsid w:val="00554565"/>
    <w:rsid w:val="005554E4"/>
    <w:rsid w:val="0055637D"/>
    <w:rsid w:val="00556C97"/>
    <w:rsid w:val="0056014B"/>
    <w:rsid w:val="00560A13"/>
    <w:rsid w:val="00561F81"/>
    <w:rsid w:val="0056431F"/>
    <w:rsid w:val="00564C5E"/>
    <w:rsid w:val="0056704B"/>
    <w:rsid w:val="00567914"/>
    <w:rsid w:val="00570D8A"/>
    <w:rsid w:val="00574817"/>
    <w:rsid w:val="00574BE4"/>
    <w:rsid w:val="0057635C"/>
    <w:rsid w:val="005765B6"/>
    <w:rsid w:val="005767A0"/>
    <w:rsid w:val="00580555"/>
    <w:rsid w:val="005811DC"/>
    <w:rsid w:val="005812B5"/>
    <w:rsid w:val="005813B1"/>
    <w:rsid w:val="00581715"/>
    <w:rsid w:val="00581CF7"/>
    <w:rsid w:val="005825C5"/>
    <w:rsid w:val="00582DAA"/>
    <w:rsid w:val="00583674"/>
    <w:rsid w:val="00583A9D"/>
    <w:rsid w:val="00584BCC"/>
    <w:rsid w:val="00585028"/>
    <w:rsid w:val="00587D5A"/>
    <w:rsid w:val="0059068C"/>
    <w:rsid w:val="005917A2"/>
    <w:rsid w:val="00591EF3"/>
    <w:rsid w:val="00592011"/>
    <w:rsid w:val="005924F9"/>
    <w:rsid w:val="0059456C"/>
    <w:rsid w:val="00594C20"/>
    <w:rsid w:val="00595AF8"/>
    <w:rsid w:val="00595F6C"/>
    <w:rsid w:val="0059656B"/>
    <w:rsid w:val="00596B2D"/>
    <w:rsid w:val="00597BEB"/>
    <w:rsid w:val="005A0AE2"/>
    <w:rsid w:val="005A1DC0"/>
    <w:rsid w:val="005A294A"/>
    <w:rsid w:val="005A2D76"/>
    <w:rsid w:val="005A4F6C"/>
    <w:rsid w:val="005A506F"/>
    <w:rsid w:val="005A63E1"/>
    <w:rsid w:val="005A6CC3"/>
    <w:rsid w:val="005B0CE5"/>
    <w:rsid w:val="005B0F4B"/>
    <w:rsid w:val="005B109F"/>
    <w:rsid w:val="005B27BA"/>
    <w:rsid w:val="005B3B5F"/>
    <w:rsid w:val="005B4C32"/>
    <w:rsid w:val="005B5027"/>
    <w:rsid w:val="005B50BE"/>
    <w:rsid w:val="005B5A6F"/>
    <w:rsid w:val="005B5FA6"/>
    <w:rsid w:val="005B626C"/>
    <w:rsid w:val="005B62D6"/>
    <w:rsid w:val="005B6C50"/>
    <w:rsid w:val="005B7E87"/>
    <w:rsid w:val="005C03A6"/>
    <w:rsid w:val="005C10FE"/>
    <w:rsid w:val="005C11A8"/>
    <w:rsid w:val="005C213E"/>
    <w:rsid w:val="005C23C2"/>
    <w:rsid w:val="005C2A60"/>
    <w:rsid w:val="005C7599"/>
    <w:rsid w:val="005C771D"/>
    <w:rsid w:val="005C7F67"/>
    <w:rsid w:val="005D0E59"/>
    <w:rsid w:val="005D10CF"/>
    <w:rsid w:val="005D1A71"/>
    <w:rsid w:val="005D4D97"/>
    <w:rsid w:val="005D5E28"/>
    <w:rsid w:val="005D6258"/>
    <w:rsid w:val="005D68B7"/>
    <w:rsid w:val="005D6AC8"/>
    <w:rsid w:val="005D75A3"/>
    <w:rsid w:val="005D7719"/>
    <w:rsid w:val="005E0C68"/>
    <w:rsid w:val="005E2B2E"/>
    <w:rsid w:val="005E31A6"/>
    <w:rsid w:val="005E4358"/>
    <w:rsid w:val="005E6845"/>
    <w:rsid w:val="005E7116"/>
    <w:rsid w:val="005E78E0"/>
    <w:rsid w:val="005F14B1"/>
    <w:rsid w:val="005F2004"/>
    <w:rsid w:val="005F3A8A"/>
    <w:rsid w:val="005F3CAE"/>
    <w:rsid w:val="005F4248"/>
    <w:rsid w:val="005F5520"/>
    <w:rsid w:val="00600ACC"/>
    <w:rsid w:val="00600D72"/>
    <w:rsid w:val="00600EA3"/>
    <w:rsid w:val="00602FE1"/>
    <w:rsid w:val="006030EB"/>
    <w:rsid w:val="00604523"/>
    <w:rsid w:val="00606EAF"/>
    <w:rsid w:val="006078F0"/>
    <w:rsid w:val="00611CEB"/>
    <w:rsid w:val="006134CA"/>
    <w:rsid w:val="006138DE"/>
    <w:rsid w:val="00614253"/>
    <w:rsid w:val="006145FA"/>
    <w:rsid w:val="0061671A"/>
    <w:rsid w:val="00616CED"/>
    <w:rsid w:val="00617B06"/>
    <w:rsid w:val="006208F5"/>
    <w:rsid w:val="00620A39"/>
    <w:rsid w:val="00620D41"/>
    <w:rsid w:val="006210EB"/>
    <w:rsid w:val="00623447"/>
    <w:rsid w:val="006236F7"/>
    <w:rsid w:val="0062553D"/>
    <w:rsid w:val="00625E4F"/>
    <w:rsid w:val="006265DB"/>
    <w:rsid w:val="006265DD"/>
    <w:rsid w:val="00627F79"/>
    <w:rsid w:val="00630598"/>
    <w:rsid w:val="006321B3"/>
    <w:rsid w:val="0063288E"/>
    <w:rsid w:val="00633A6C"/>
    <w:rsid w:val="0063459E"/>
    <w:rsid w:val="006351C3"/>
    <w:rsid w:val="0063600E"/>
    <w:rsid w:val="006366FB"/>
    <w:rsid w:val="00637176"/>
    <w:rsid w:val="006374D9"/>
    <w:rsid w:val="00641B2D"/>
    <w:rsid w:val="006425E9"/>
    <w:rsid w:val="006433AC"/>
    <w:rsid w:val="00643646"/>
    <w:rsid w:val="0064364B"/>
    <w:rsid w:val="0064466D"/>
    <w:rsid w:val="00644FAE"/>
    <w:rsid w:val="006462EB"/>
    <w:rsid w:val="00646E2E"/>
    <w:rsid w:val="006523FC"/>
    <w:rsid w:val="0065350B"/>
    <w:rsid w:val="00653B3B"/>
    <w:rsid w:val="0065441D"/>
    <w:rsid w:val="00654609"/>
    <w:rsid w:val="0065604B"/>
    <w:rsid w:val="006561FE"/>
    <w:rsid w:val="00660D8A"/>
    <w:rsid w:val="00661327"/>
    <w:rsid w:val="006634FA"/>
    <w:rsid w:val="00663A8C"/>
    <w:rsid w:val="00665745"/>
    <w:rsid w:val="0066574E"/>
    <w:rsid w:val="0066667F"/>
    <w:rsid w:val="006670E9"/>
    <w:rsid w:val="006674F9"/>
    <w:rsid w:val="006726D9"/>
    <w:rsid w:val="006728A3"/>
    <w:rsid w:val="00673DB3"/>
    <w:rsid w:val="00674A65"/>
    <w:rsid w:val="006750AC"/>
    <w:rsid w:val="00675627"/>
    <w:rsid w:val="006758E6"/>
    <w:rsid w:val="00675E87"/>
    <w:rsid w:val="00675F9C"/>
    <w:rsid w:val="0067685E"/>
    <w:rsid w:val="00680333"/>
    <w:rsid w:val="00681FE6"/>
    <w:rsid w:val="00683962"/>
    <w:rsid w:val="006849CB"/>
    <w:rsid w:val="00690669"/>
    <w:rsid w:val="006908B0"/>
    <w:rsid w:val="0069175A"/>
    <w:rsid w:val="006917EB"/>
    <w:rsid w:val="0069288E"/>
    <w:rsid w:val="00692FDB"/>
    <w:rsid w:val="00694602"/>
    <w:rsid w:val="00695000"/>
    <w:rsid w:val="0069627B"/>
    <w:rsid w:val="006963B1"/>
    <w:rsid w:val="00696C76"/>
    <w:rsid w:val="00696D4B"/>
    <w:rsid w:val="006A03F0"/>
    <w:rsid w:val="006A13E2"/>
    <w:rsid w:val="006A2576"/>
    <w:rsid w:val="006A3697"/>
    <w:rsid w:val="006A479A"/>
    <w:rsid w:val="006A5041"/>
    <w:rsid w:val="006A5D3E"/>
    <w:rsid w:val="006A66CE"/>
    <w:rsid w:val="006B1DD9"/>
    <w:rsid w:val="006B32A4"/>
    <w:rsid w:val="006B3B68"/>
    <w:rsid w:val="006B4E3E"/>
    <w:rsid w:val="006B533A"/>
    <w:rsid w:val="006B5437"/>
    <w:rsid w:val="006B5D2E"/>
    <w:rsid w:val="006B7BBD"/>
    <w:rsid w:val="006C2B4F"/>
    <w:rsid w:val="006C3256"/>
    <w:rsid w:val="006C5101"/>
    <w:rsid w:val="006C5A6A"/>
    <w:rsid w:val="006C5E5A"/>
    <w:rsid w:val="006C625F"/>
    <w:rsid w:val="006C799C"/>
    <w:rsid w:val="006C7F92"/>
    <w:rsid w:val="006D0780"/>
    <w:rsid w:val="006D13C1"/>
    <w:rsid w:val="006D14AF"/>
    <w:rsid w:val="006D2278"/>
    <w:rsid w:val="006D5879"/>
    <w:rsid w:val="006D5C7E"/>
    <w:rsid w:val="006D621A"/>
    <w:rsid w:val="006D62B5"/>
    <w:rsid w:val="006D6BCF"/>
    <w:rsid w:val="006D798E"/>
    <w:rsid w:val="006E02FA"/>
    <w:rsid w:val="006E034F"/>
    <w:rsid w:val="006E03A0"/>
    <w:rsid w:val="006E2124"/>
    <w:rsid w:val="006E352F"/>
    <w:rsid w:val="006E5776"/>
    <w:rsid w:val="006E5A0E"/>
    <w:rsid w:val="006E5B86"/>
    <w:rsid w:val="006E6C89"/>
    <w:rsid w:val="006E6E46"/>
    <w:rsid w:val="006F0EE4"/>
    <w:rsid w:val="006F2B5D"/>
    <w:rsid w:val="006F2C30"/>
    <w:rsid w:val="006F5A6B"/>
    <w:rsid w:val="006F67AE"/>
    <w:rsid w:val="006F67B1"/>
    <w:rsid w:val="006F6FCE"/>
    <w:rsid w:val="006F75EA"/>
    <w:rsid w:val="00700AC9"/>
    <w:rsid w:val="00700DC7"/>
    <w:rsid w:val="00701602"/>
    <w:rsid w:val="007023AC"/>
    <w:rsid w:val="007029B8"/>
    <w:rsid w:val="0070477A"/>
    <w:rsid w:val="00704E2D"/>
    <w:rsid w:val="00706227"/>
    <w:rsid w:val="00706389"/>
    <w:rsid w:val="00706531"/>
    <w:rsid w:val="00706A21"/>
    <w:rsid w:val="007071B9"/>
    <w:rsid w:val="0071026D"/>
    <w:rsid w:val="007115D8"/>
    <w:rsid w:val="00711B82"/>
    <w:rsid w:val="00712C75"/>
    <w:rsid w:val="00714103"/>
    <w:rsid w:val="00714FBF"/>
    <w:rsid w:val="0071565D"/>
    <w:rsid w:val="0071700D"/>
    <w:rsid w:val="007172E1"/>
    <w:rsid w:val="00717D37"/>
    <w:rsid w:val="00720286"/>
    <w:rsid w:val="00721B8A"/>
    <w:rsid w:val="00722A03"/>
    <w:rsid w:val="007237CC"/>
    <w:rsid w:val="00723C12"/>
    <w:rsid w:val="00725C27"/>
    <w:rsid w:val="00725FFB"/>
    <w:rsid w:val="00727395"/>
    <w:rsid w:val="00732F2C"/>
    <w:rsid w:val="007338C9"/>
    <w:rsid w:val="00734CD9"/>
    <w:rsid w:val="00735E03"/>
    <w:rsid w:val="00735EC1"/>
    <w:rsid w:val="00736AFD"/>
    <w:rsid w:val="00736B54"/>
    <w:rsid w:val="00740F15"/>
    <w:rsid w:val="0074130B"/>
    <w:rsid w:val="0074315F"/>
    <w:rsid w:val="00744735"/>
    <w:rsid w:val="007450E3"/>
    <w:rsid w:val="00745574"/>
    <w:rsid w:val="00745929"/>
    <w:rsid w:val="00746B00"/>
    <w:rsid w:val="00747FAD"/>
    <w:rsid w:val="00750267"/>
    <w:rsid w:val="00751647"/>
    <w:rsid w:val="00751899"/>
    <w:rsid w:val="00752200"/>
    <w:rsid w:val="00752460"/>
    <w:rsid w:val="00752AD8"/>
    <w:rsid w:val="00753839"/>
    <w:rsid w:val="00753BD5"/>
    <w:rsid w:val="007553D5"/>
    <w:rsid w:val="0075566A"/>
    <w:rsid w:val="007569D7"/>
    <w:rsid w:val="00757929"/>
    <w:rsid w:val="007579B8"/>
    <w:rsid w:val="00757B3F"/>
    <w:rsid w:val="00760676"/>
    <w:rsid w:val="00760886"/>
    <w:rsid w:val="00760902"/>
    <w:rsid w:val="007615F3"/>
    <w:rsid w:val="007622CA"/>
    <w:rsid w:val="00762DD2"/>
    <w:rsid w:val="00764CCE"/>
    <w:rsid w:val="007715AE"/>
    <w:rsid w:val="0077164D"/>
    <w:rsid w:val="0077327D"/>
    <w:rsid w:val="0077380F"/>
    <w:rsid w:val="00774053"/>
    <w:rsid w:val="00775698"/>
    <w:rsid w:val="00775C38"/>
    <w:rsid w:val="007766D1"/>
    <w:rsid w:val="00776A4E"/>
    <w:rsid w:val="00776C77"/>
    <w:rsid w:val="007778B5"/>
    <w:rsid w:val="00777FA7"/>
    <w:rsid w:val="00783509"/>
    <w:rsid w:val="00783D66"/>
    <w:rsid w:val="007856EC"/>
    <w:rsid w:val="007860C9"/>
    <w:rsid w:val="00786AC5"/>
    <w:rsid w:val="007871C1"/>
    <w:rsid w:val="0079039C"/>
    <w:rsid w:val="00790CD8"/>
    <w:rsid w:val="00790EA9"/>
    <w:rsid w:val="00791916"/>
    <w:rsid w:val="00791D5D"/>
    <w:rsid w:val="007930FE"/>
    <w:rsid w:val="007939C7"/>
    <w:rsid w:val="00793B29"/>
    <w:rsid w:val="0079483F"/>
    <w:rsid w:val="00794AFF"/>
    <w:rsid w:val="00794EA3"/>
    <w:rsid w:val="00796DC7"/>
    <w:rsid w:val="007970D1"/>
    <w:rsid w:val="007A054A"/>
    <w:rsid w:val="007A2749"/>
    <w:rsid w:val="007A3700"/>
    <w:rsid w:val="007A58AD"/>
    <w:rsid w:val="007A7338"/>
    <w:rsid w:val="007A7642"/>
    <w:rsid w:val="007B19F1"/>
    <w:rsid w:val="007B31E6"/>
    <w:rsid w:val="007B3238"/>
    <w:rsid w:val="007B37A4"/>
    <w:rsid w:val="007B44FF"/>
    <w:rsid w:val="007B4903"/>
    <w:rsid w:val="007B5177"/>
    <w:rsid w:val="007B67A6"/>
    <w:rsid w:val="007C08ED"/>
    <w:rsid w:val="007C094F"/>
    <w:rsid w:val="007C0DB8"/>
    <w:rsid w:val="007C2D1B"/>
    <w:rsid w:val="007C30A7"/>
    <w:rsid w:val="007C36FF"/>
    <w:rsid w:val="007C5885"/>
    <w:rsid w:val="007C6C8A"/>
    <w:rsid w:val="007D08D6"/>
    <w:rsid w:val="007D11D6"/>
    <w:rsid w:val="007D41CB"/>
    <w:rsid w:val="007D4B29"/>
    <w:rsid w:val="007D6078"/>
    <w:rsid w:val="007D7097"/>
    <w:rsid w:val="007D71DB"/>
    <w:rsid w:val="007E09B2"/>
    <w:rsid w:val="007E0EBA"/>
    <w:rsid w:val="007E1CD7"/>
    <w:rsid w:val="007E1E0A"/>
    <w:rsid w:val="007E3A44"/>
    <w:rsid w:val="007E4ED8"/>
    <w:rsid w:val="007E511B"/>
    <w:rsid w:val="007E5415"/>
    <w:rsid w:val="007F0330"/>
    <w:rsid w:val="007F045C"/>
    <w:rsid w:val="007F0B29"/>
    <w:rsid w:val="007F219E"/>
    <w:rsid w:val="007F21D5"/>
    <w:rsid w:val="007F415A"/>
    <w:rsid w:val="007F45AF"/>
    <w:rsid w:val="007F45C0"/>
    <w:rsid w:val="007F470E"/>
    <w:rsid w:val="007F4754"/>
    <w:rsid w:val="007F4886"/>
    <w:rsid w:val="007F5293"/>
    <w:rsid w:val="007F5798"/>
    <w:rsid w:val="007F6BF5"/>
    <w:rsid w:val="007F6E7D"/>
    <w:rsid w:val="007F70A1"/>
    <w:rsid w:val="007F79B1"/>
    <w:rsid w:val="007F7AB5"/>
    <w:rsid w:val="007F7C4F"/>
    <w:rsid w:val="007F7DD1"/>
    <w:rsid w:val="00800959"/>
    <w:rsid w:val="00800CC6"/>
    <w:rsid w:val="008011C6"/>
    <w:rsid w:val="0080124D"/>
    <w:rsid w:val="00801437"/>
    <w:rsid w:val="00801704"/>
    <w:rsid w:val="00802CCA"/>
    <w:rsid w:val="00803338"/>
    <w:rsid w:val="00803702"/>
    <w:rsid w:val="00804DA5"/>
    <w:rsid w:val="0080705B"/>
    <w:rsid w:val="008078EF"/>
    <w:rsid w:val="0081243A"/>
    <w:rsid w:val="008129FC"/>
    <w:rsid w:val="00812FE1"/>
    <w:rsid w:val="00813E4D"/>
    <w:rsid w:val="00813EEF"/>
    <w:rsid w:val="008143A6"/>
    <w:rsid w:val="00814690"/>
    <w:rsid w:val="0081507F"/>
    <w:rsid w:val="00816444"/>
    <w:rsid w:val="00816AA4"/>
    <w:rsid w:val="00817F2D"/>
    <w:rsid w:val="00820330"/>
    <w:rsid w:val="00820BF6"/>
    <w:rsid w:val="00822782"/>
    <w:rsid w:val="00822868"/>
    <w:rsid w:val="0082288C"/>
    <w:rsid w:val="00822FDC"/>
    <w:rsid w:val="00824069"/>
    <w:rsid w:val="008242CD"/>
    <w:rsid w:val="00826394"/>
    <w:rsid w:val="00831684"/>
    <w:rsid w:val="00832037"/>
    <w:rsid w:val="008321C8"/>
    <w:rsid w:val="008325BD"/>
    <w:rsid w:val="00832BCC"/>
    <w:rsid w:val="00833B63"/>
    <w:rsid w:val="008344FD"/>
    <w:rsid w:val="00834A1B"/>
    <w:rsid w:val="008355DB"/>
    <w:rsid w:val="00836684"/>
    <w:rsid w:val="00836984"/>
    <w:rsid w:val="00837DA8"/>
    <w:rsid w:val="00840900"/>
    <w:rsid w:val="008410D5"/>
    <w:rsid w:val="00841245"/>
    <w:rsid w:val="008415BF"/>
    <w:rsid w:val="00841642"/>
    <w:rsid w:val="008431E4"/>
    <w:rsid w:val="008438D0"/>
    <w:rsid w:val="00843C6A"/>
    <w:rsid w:val="008440EB"/>
    <w:rsid w:val="00846560"/>
    <w:rsid w:val="00846D88"/>
    <w:rsid w:val="00846E19"/>
    <w:rsid w:val="008477DE"/>
    <w:rsid w:val="00847DF9"/>
    <w:rsid w:val="008505C2"/>
    <w:rsid w:val="00850667"/>
    <w:rsid w:val="008508BD"/>
    <w:rsid w:val="00852E33"/>
    <w:rsid w:val="00852F4A"/>
    <w:rsid w:val="00853EFA"/>
    <w:rsid w:val="00854405"/>
    <w:rsid w:val="00854896"/>
    <w:rsid w:val="0085548B"/>
    <w:rsid w:val="00856AB7"/>
    <w:rsid w:val="00860CD7"/>
    <w:rsid w:val="00861284"/>
    <w:rsid w:val="00863300"/>
    <w:rsid w:val="00863968"/>
    <w:rsid w:val="008675B7"/>
    <w:rsid w:val="00867E02"/>
    <w:rsid w:val="00872298"/>
    <w:rsid w:val="00872A24"/>
    <w:rsid w:val="00873A9F"/>
    <w:rsid w:val="00873DF7"/>
    <w:rsid w:val="0087469C"/>
    <w:rsid w:val="00874978"/>
    <w:rsid w:val="008760A8"/>
    <w:rsid w:val="008803D8"/>
    <w:rsid w:val="008803E1"/>
    <w:rsid w:val="0088099F"/>
    <w:rsid w:val="0088396B"/>
    <w:rsid w:val="00884C39"/>
    <w:rsid w:val="00884C8C"/>
    <w:rsid w:val="008855B2"/>
    <w:rsid w:val="00890AB8"/>
    <w:rsid w:val="008913C6"/>
    <w:rsid w:val="00891A9A"/>
    <w:rsid w:val="00891EBF"/>
    <w:rsid w:val="008920EC"/>
    <w:rsid w:val="00892DF9"/>
    <w:rsid w:val="008931C1"/>
    <w:rsid w:val="008941B9"/>
    <w:rsid w:val="008945CB"/>
    <w:rsid w:val="00896508"/>
    <w:rsid w:val="00896C00"/>
    <w:rsid w:val="008973B2"/>
    <w:rsid w:val="008A12C0"/>
    <w:rsid w:val="008A1B3B"/>
    <w:rsid w:val="008A22A4"/>
    <w:rsid w:val="008A3C2F"/>
    <w:rsid w:val="008A5AD6"/>
    <w:rsid w:val="008A5BB3"/>
    <w:rsid w:val="008A6DD7"/>
    <w:rsid w:val="008A746A"/>
    <w:rsid w:val="008A7B2D"/>
    <w:rsid w:val="008B0C57"/>
    <w:rsid w:val="008B0D72"/>
    <w:rsid w:val="008B2A36"/>
    <w:rsid w:val="008B3211"/>
    <w:rsid w:val="008B4292"/>
    <w:rsid w:val="008B49FD"/>
    <w:rsid w:val="008B633B"/>
    <w:rsid w:val="008B638D"/>
    <w:rsid w:val="008B6F4D"/>
    <w:rsid w:val="008B7457"/>
    <w:rsid w:val="008B7586"/>
    <w:rsid w:val="008B77AB"/>
    <w:rsid w:val="008B7D52"/>
    <w:rsid w:val="008C0852"/>
    <w:rsid w:val="008C0A5E"/>
    <w:rsid w:val="008C1963"/>
    <w:rsid w:val="008C1DD3"/>
    <w:rsid w:val="008C2472"/>
    <w:rsid w:val="008C2A20"/>
    <w:rsid w:val="008C4150"/>
    <w:rsid w:val="008C4A26"/>
    <w:rsid w:val="008D03C4"/>
    <w:rsid w:val="008D08B7"/>
    <w:rsid w:val="008D1005"/>
    <w:rsid w:val="008D199B"/>
    <w:rsid w:val="008D3340"/>
    <w:rsid w:val="008D37D3"/>
    <w:rsid w:val="008D5423"/>
    <w:rsid w:val="008D5C8F"/>
    <w:rsid w:val="008D729E"/>
    <w:rsid w:val="008E4740"/>
    <w:rsid w:val="008E539E"/>
    <w:rsid w:val="008E6014"/>
    <w:rsid w:val="008E6BD5"/>
    <w:rsid w:val="008E6CF0"/>
    <w:rsid w:val="008E735E"/>
    <w:rsid w:val="008E79F8"/>
    <w:rsid w:val="008F01C5"/>
    <w:rsid w:val="008F0F31"/>
    <w:rsid w:val="008F1827"/>
    <w:rsid w:val="008F4C0C"/>
    <w:rsid w:val="008F5B6F"/>
    <w:rsid w:val="008F6931"/>
    <w:rsid w:val="008F7947"/>
    <w:rsid w:val="009021F5"/>
    <w:rsid w:val="009046E0"/>
    <w:rsid w:val="00905C15"/>
    <w:rsid w:val="009066B2"/>
    <w:rsid w:val="00906BD0"/>
    <w:rsid w:val="00906CD2"/>
    <w:rsid w:val="00907FB2"/>
    <w:rsid w:val="00907FC1"/>
    <w:rsid w:val="00910CB7"/>
    <w:rsid w:val="00910E15"/>
    <w:rsid w:val="00911E70"/>
    <w:rsid w:val="00911FB4"/>
    <w:rsid w:val="0091298B"/>
    <w:rsid w:val="00913CC3"/>
    <w:rsid w:val="009140FB"/>
    <w:rsid w:val="00914507"/>
    <w:rsid w:val="009149B4"/>
    <w:rsid w:val="00915B8E"/>
    <w:rsid w:val="00916127"/>
    <w:rsid w:val="00916FE4"/>
    <w:rsid w:val="0091733E"/>
    <w:rsid w:val="00920B7C"/>
    <w:rsid w:val="00920D9F"/>
    <w:rsid w:val="00923E6C"/>
    <w:rsid w:val="00923F06"/>
    <w:rsid w:val="00924273"/>
    <w:rsid w:val="00924848"/>
    <w:rsid w:val="009248E5"/>
    <w:rsid w:val="00926280"/>
    <w:rsid w:val="00930132"/>
    <w:rsid w:val="00933225"/>
    <w:rsid w:val="009346A3"/>
    <w:rsid w:val="00935D71"/>
    <w:rsid w:val="00937A49"/>
    <w:rsid w:val="00937A50"/>
    <w:rsid w:val="00937D05"/>
    <w:rsid w:val="0094006D"/>
    <w:rsid w:val="0094123D"/>
    <w:rsid w:val="009416D7"/>
    <w:rsid w:val="009437F2"/>
    <w:rsid w:val="00944C9C"/>
    <w:rsid w:val="00945397"/>
    <w:rsid w:val="00945DB9"/>
    <w:rsid w:val="00947C85"/>
    <w:rsid w:val="00947C92"/>
    <w:rsid w:val="00947DBA"/>
    <w:rsid w:val="00950A2B"/>
    <w:rsid w:val="0095498A"/>
    <w:rsid w:val="009556C2"/>
    <w:rsid w:val="00956653"/>
    <w:rsid w:val="00960D19"/>
    <w:rsid w:val="00961DB1"/>
    <w:rsid w:val="009622E8"/>
    <w:rsid w:val="009626B5"/>
    <w:rsid w:val="00962A43"/>
    <w:rsid w:val="00963C68"/>
    <w:rsid w:val="00964A0F"/>
    <w:rsid w:val="00964F52"/>
    <w:rsid w:val="0096502C"/>
    <w:rsid w:val="00965971"/>
    <w:rsid w:val="00966F0F"/>
    <w:rsid w:val="009675EB"/>
    <w:rsid w:val="00970DD0"/>
    <w:rsid w:val="00972A37"/>
    <w:rsid w:val="00974033"/>
    <w:rsid w:val="009741E5"/>
    <w:rsid w:val="00974D0F"/>
    <w:rsid w:val="00975A34"/>
    <w:rsid w:val="00977098"/>
    <w:rsid w:val="00977286"/>
    <w:rsid w:val="00980BC4"/>
    <w:rsid w:val="0098364D"/>
    <w:rsid w:val="009838E0"/>
    <w:rsid w:val="00983EFB"/>
    <w:rsid w:val="00984B28"/>
    <w:rsid w:val="00985BC4"/>
    <w:rsid w:val="00986A94"/>
    <w:rsid w:val="00986B5B"/>
    <w:rsid w:val="00987EBE"/>
    <w:rsid w:val="00990214"/>
    <w:rsid w:val="0099098E"/>
    <w:rsid w:val="009909BD"/>
    <w:rsid w:val="00990A9D"/>
    <w:rsid w:val="00991701"/>
    <w:rsid w:val="0099362C"/>
    <w:rsid w:val="00994188"/>
    <w:rsid w:val="009948DD"/>
    <w:rsid w:val="00995351"/>
    <w:rsid w:val="00997742"/>
    <w:rsid w:val="009A02B4"/>
    <w:rsid w:val="009A05AE"/>
    <w:rsid w:val="009A2FA1"/>
    <w:rsid w:val="009A351D"/>
    <w:rsid w:val="009A39F4"/>
    <w:rsid w:val="009A3E5C"/>
    <w:rsid w:val="009A437A"/>
    <w:rsid w:val="009A4818"/>
    <w:rsid w:val="009A48C9"/>
    <w:rsid w:val="009A544D"/>
    <w:rsid w:val="009A659B"/>
    <w:rsid w:val="009A68B7"/>
    <w:rsid w:val="009A6E6D"/>
    <w:rsid w:val="009B05E0"/>
    <w:rsid w:val="009B0E89"/>
    <w:rsid w:val="009B2849"/>
    <w:rsid w:val="009B29DB"/>
    <w:rsid w:val="009B3826"/>
    <w:rsid w:val="009B44C8"/>
    <w:rsid w:val="009B4B0B"/>
    <w:rsid w:val="009B5553"/>
    <w:rsid w:val="009B56BC"/>
    <w:rsid w:val="009B689B"/>
    <w:rsid w:val="009B6ACF"/>
    <w:rsid w:val="009B6CC3"/>
    <w:rsid w:val="009C2939"/>
    <w:rsid w:val="009C377D"/>
    <w:rsid w:val="009C3B78"/>
    <w:rsid w:val="009C4D5C"/>
    <w:rsid w:val="009C5755"/>
    <w:rsid w:val="009C581A"/>
    <w:rsid w:val="009C5F73"/>
    <w:rsid w:val="009C6474"/>
    <w:rsid w:val="009C68BA"/>
    <w:rsid w:val="009C72FE"/>
    <w:rsid w:val="009C742C"/>
    <w:rsid w:val="009D04E5"/>
    <w:rsid w:val="009D04F4"/>
    <w:rsid w:val="009D0A72"/>
    <w:rsid w:val="009D22C6"/>
    <w:rsid w:val="009D2308"/>
    <w:rsid w:val="009D30BF"/>
    <w:rsid w:val="009D4F98"/>
    <w:rsid w:val="009D5EC9"/>
    <w:rsid w:val="009D687E"/>
    <w:rsid w:val="009D7B8C"/>
    <w:rsid w:val="009E0293"/>
    <w:rsid w:val="009E1093"/>
    <w:rsid w:val="009E1B61"/>
    <w:rsid w:val="009E1BB2"/>
    <w:rsid w:val="009E2221"/>
    <w:rsid w:val="009E41CD"/>
    <w:rsid w:val="009E491A"/>
    <w:rsid w:val="009E5E5D"/>
    <w:rsid w:val="009E6DAC"/>
    <w:rsid w:val="009E77B5"/>
    <w:rsid w:val="009E7C13"/>
    <w:rsid w:val="009E7E72"/>
    <w:rsid w:val="009F0634"/>
    <w:rsid w:val="009F0BE7"/>
    <w:rsid w:val="009F1204"/>
    <w:rsid w:val="009F2908"/>
    <w:rsid w:val="009F2E86"/>
    <w:rsid w:val="009F4208"/>
    <w:rsid w:val="009F4814"/>
    <w:rsid w:val="009F4C4A"/>
    <w:rsid w:val="009F5165"/>
    <w:rsid w:val="009F7C7D"/>
    <w:rsid w:val="00A00406"/>
    <w:rsid w:val="00A02B8C"/>
    <w:rsid w:val="00A03FF7"/>
    <w:rsid w:val="00A0540B"/>
    <w:rsid w:val="00A05D53"/>
    <w:rsid w:val="00A06E01"/>
    <w:rsid w:val="00A12E59"/>
    <w:rsid w:val="00A137FD"/>
    <w:rsid w:val="00A156C6"/>
    <w:rsid w:val="00A157BF"/>
    <w:rsid w:val="00A158CE"/>
    <w:rsid w:val="00A15A9E"/>
    <w:rsid w:val="00A16DB5"/>
    <w:rsid w:val="00A20336"/>
    <w:rsid w:val="00A227CD"/>
    <w:rsid w:val="00A22AF7"/>
    <w:rsid w:val="00A23914"/>
    <w:rsid w:val="00A23C50"/>
    <w:rsid w:val="00A24D75"/>
    <w:rsid w:val="00A25150"/>
    <w:rsid w:val="00A253BC"/>
    <w:rsid w:val="00A25BC4"/>
    <w:rsid w:val="00A25D1E"/>
    <w:rsid w:val="00A25F38"/>
    <w:rsid w:val="00A26330"/>
    <w:rsid w:val="00A27BEA"/>
    <w:rsid w:val="00A27F90"/>
    <w:rsid w:val="00A32EC2"/>
    <w:rsid w:val="00A342EE"/>
    <w:rsid w:val="00A354D0"/>
    <w:rsid w:val="00A35CB0"/>
    <w:rsid w:val="00A36223"/>
    <w:rsid w:val="00A36C69"/>
    <w:rsid w:val="00A4137D"/>
    <w:rsid w:val="00A41567"/>
    <w:rsid w:val="00A422E7"/>
    <w:rsid w:val="00A42CB0"/>
    <w:rsid w:val="00A42DD0"/>
    <w:rsid w:val="00A432F0"/>
    <w:rsid w:val="00A4351E"/>
    <w:rsid w:val="00A43F68"/>
    <w:rsid w:val="00A45233"/>
    <w:rsid w:val="00A45EAB"/>
    <w:rsid w:val="00A46484"/>
    <w:rsid w:val="00A466E5"/>
    <w:rsid w:val="00A46F09"/>
    <w:rsid w:val="00A47E3F"/>
    <w:rsid w:val="00A507B8"/>
    <w:rsid w:val="00A50C04"/>
    <w:rsid w:val="00A56648"/>
    <w:rsid w:val="00A567F4"/>
    <w:rsid w:val="00A57B63"/>
    <w:rsid w:val="00A57BC8"/>
    <w:rsid w:val="00A60470"/>
    <w:rsid w:val="00A61662"/>
    <w:rsid w:val="00A61F65"/>
    <w:rsid w:val="00A6348E"/>
    <w:rsid w:val="00A63672"/>
    <w:rsid w:val="00A650FF"/>
    <w:rsid w:val="00A67DC7"/>
    <w:rsid w:val="00A67E8B"/>
    <w:rsid w:val="00A70D0E"/>
    <w:rsid w:val="00A70FCD"/>
    <w:rsid w:val="00A70FE4"/>
    <w:rsid w:val="00A72827"/>
    <w:rsid w:val="00A728DC"/>
    <w:rsid w:val="00A729FF"/>
    <w:rsid w:val="00A72B90"/>
    <w:rsid w:val="00A72CC5"/>
    <w:rsid w:val="00A7342D"/>
    <w:rsid w:val="00A7409B"/>
    <w:rsid w:val="00A7466A"/>
    <w:rsid w:val="00A769E0"/>
    <w:rsid w:val="00A76F22"/>
    <w:rsid w:val="00A80C81"/>
    <w:rsid w:val="00A80D59"/>
    <w:rsid w:val="00A80F51"/>
    <w:rsid w:val="00A81431"/>
    <w:rsid w:val="00A816AE"/>
    <w:rsid w:val="00A8225B"/>
    <w:rsid w:val="00A8417D"/>
    <w:rsid w:val="00A859ED"/>
    <w:rsid w:val="00A870CE"/>
    <w:rsid w:val="00A876F5"/>
    <w:rsid w:val="00A87B82"/>
    <w:rsid w:val="00A9277E"/>
    <w:rsid w:val="00A93098"/>
    <w:rsid w:val="00A93F66"/>
    <w:rsid w:val="00A9447F"/>
    <w:rsid w:val="00A94B6E"/>
    <w:rsid w:val="00A95ACA"/>
    <w:rsid w:val="00A95C3B"/>
    <w:rsid w:val="00A96189"/>
    <w:rsid w:val="00A97E54"/>
    <w:rsid w:val="00AA0DD0"/>
    <w:rsid w:val="00AA1545"/>
    <w:rsid w:val="00AA1744"/>
    <w:rsid w:val="00AA31F5"/>
    <w:rsid w:val="00AA3461"/>
    <w:rsid w:val="00AA3D8A"/>
    <w:rsid w:val="00AA3FBA"/>
    <w:rsid w:val="00AA43A8"/>
    <w:rsid w:val="00AA5D9F"/>
    <w:rsid w:val="00AA5F00"/>
    <w:rsid w:val="00AA62DA"/>
    <w:rsid w:val="00AA7FFA"/>
    <w:rsid w:val="00AB0837"/>
    <w:rsid w:val="00AB1CD8"/>
    <w:rsid w:val="00AB284E"/>
    <w:rsid w:val="00AB2B3B"/>
    <w:rsid w:val="00AB3138"/>
    <w:rsid w:val="00AB3F81"/>
    <w:rsid w:val="00AB5972"/>
    <w:rsid w:val="00AC00B1"/>
    <w:rsid w:val="00AC00E7"/>
    <w:rsid w:val="00AC074D"/>
    <w:rsid w:val="00AC26B0"/>
    <w:rsid w:val="00AC28DF"/>
    <w:rsid w:val="00AC2ACC"/>
    <w:rsid w:val="00AC585D"/>
    <w:rsid w:val="00AC61BD"/>
    <w:rsid w:val="00AC6F33"/>
    <w:rsid w:val="00AC7399"/>
    <w:rsid w:val="00AD0562"/>
    <w:rsid w:val="00AD12D8"/>
    <w:rsid w:val="00AD452A"/>
    <w:rsid w:val="00AD543F"/>
    <w:rsid w:val="00AD64C7"/>
    <w:rsid w:val="00AD728E"/>
    <w:rsid w:val="00AD7489"/>
    <w:rsid w:val="00AD76AE"/>
    <w:rsid w:val="00AE0593"/>
    <w:rsid w:val="00AE2156"/>
    <w:rsid w:val="00AE2D44"/>
    <w:rsid w:val="00AE4416"/>
    <w:rsid w:val="00AE46E7"/>
    <w:rsid w:val="00AE55ED"/>
    <w:rsid w:val="00AE6419"/>
    <w:rsid w:val="00AE6E1E"/>
    <w:rsid w:val="00AE70D0"/>
    <w:rsid w:val="00AF0922"/>
    <w:rsid w:val="00AF2B97"/>
    <w:rsid w:val="00AF2C96"/>
    <w:rsid w:val="00AF48D5"/>
    <w:rsid w:val="00AF4B37"/>
    <w:rsid w:val="00AF6312"/>
    <w:rsid w:val="00AF6C50"/>
    <w:rsid w:val="00AF75E2"/>
    <w:rsid w:val="00AF7DBB"/>
    <w:rsid w:val="00B019AD"/>
    <w:rsid w:val="00B01D50"/>
    <w:rsid w:val="00B0248E"/>
    <w:rsid w:val="00B02FB2"/>
    <w:rsid w:val="00B048B3"/>
    <w:rsid w:val="00B04E89"/>
    <w:rsid w:val="00B057EC"/>
    <w:rsid w:val="00B065B5"/>
    <w:rsid w:val="00B107E0"/>
    <w:rsid w:val="00B1168A"/>
    <w:rsid w:val="00B11706"/>
    <w:rsid w:val="00B12A9C"/>
    <w:rsid w:val="00B132A4"/>
    <w:rsid w:val="00B149EF"/>
    <w:rsid w:val="00B1512E"/>
    <w:rsid w:val="00B171B3"/>
    <w:rsid w:val="00B17AF5"/>
    <w:rsid w:val="00B20C7F"/>
    <w:rsid w:val="00B21D07"/>
    <w:rsid w:val="00B21D39"/>
    <w:rsid w:val="00B22E13"/>
    <w:rsid w:val="00B24792"/>
    <w:rsid w:val="00B25437"/>
    <w:rsid w:val="00B25E99"/>
    <w:rsid w:val="00B279B0"/>
    <w:rsid w:val="00B30BC1"/>
    <w:rsid w:val="00B32DAC"/>
    <w:rsid w:val="00B338F2"/>
    <w:rsid w:val="00B3416D"/>
    <w:rsid w:val="00B34814"/>
    <w:rsid w:val="00B34EF8"/>
    <w:rsid w:val="00B35A21"/>
    <w:rsid w:val="00B35FD1"/>
    <w:rsid w:val="00B3675C"/>
    <w:rsid w:val="00B377AC"/>
    <w:rsid w:val="00B4098F"/>
    <w:rsid w:val="00B41399"/>
    <w:rsid w:val="00B424F5"/>
    <w:rsid w:val="00B43E05"/>
    <w:rsid w:val="00B45336"/>
    <w:rsid w:val="00B4556F"/>
    <w:rsid w:val="00B45A71"/>
    <w:rsid w:val="00B46BC0"/>
    <w:rsid w:val="00B4700D"/>
    <w:rsid w:val="00B475F7"/>
    <w:rsid w:val="00B504E8"/>
    <w:rsid w:val="00B5364D"/>
    <w:rsid w:val="00B54878"/>
    <w:rsid w:val="00B554A8"/>
    <w:rsid w:val="00B5559C"/>
    <w:rsid w:val="00B55DEF"/>
    <w:rsid w:val="00B6059B"/>
    <w:rsid w:val="00B613AB"/>
    <w:rsid w:val="00B620A2"/>
    <w:rsid w:val="00B62F83"/>
    <w:rsid w:val="00B648DF"/>
    <w:rsid w:val="00B65315"/>
    <w:rsid w:val="00B66CCF"/>
    <w:rsid w:val="00B6769F"/>
    <w:rsid w:val="00B67E8E"/>
    <w:rsid w:val="00B704A8"/>
    <w:rsid w:val="00B70AA0"/>
    <w:rsid w:val="00B70AA8"/>
    <w:rsid w:val="00B70D6E"/>
    <w:rsid w:val="00B71035"/>
    <w:rsid w:val="00B723FB"/>
    <w:rsid w:val="00B72D47"/>
    <w:rsid w:val="00B73416"/>
    <w:rsid w:val="00B73AA1"/>
    <w:rsid w:val="00B76C5C"/>
    <w:rsid w:val="00B772D5"/>
    <w:rsid w:val="00B7777B"/>
    <w:rsid w:val="00B80322"/>
    <w:rsid w:val="00B807A1"/>
    <w:rsid w:val="00B8103E"/>
    <w:rsid w:val="00B822EF"/>
    <w:rsid w:val="00B8277A"/>
    <w:rsid w:val="00B83746"/>
    <w:rsid w:val="00B83EEA"/>
    <w:rsid w:val="00B84F53"/>
    <w:rsid w:val="00B85720"/>
    <w:rsid w:val="00B8658B"/>
    <w:rsid w:val="00B86DE4"/>
    <w:rsid w:val="00B87ABF"/>
    <w:rsid w:val="00B91CCF"/>
    <w:rsid w:val="00B925B6"/>
    <w:rsid w:val="00B94676"/>
    <w:rsid w:val="00B94C43"/>
    <w:rsid w:val="00B96D88"/>
    <w:rsid w:val="00B97FB5"/>
    <w:rsid w:val="00BA263A"/>
    <w:rsid w:val="00BA26EE"/>
    <w:rsid w:val="00BA2D92"/>
    <w:rsid w:val="00BA2E9C"/>
    <w:rsid w:val="00BA3331"/>
    <w:rsid w:val="00BA436A"/>
    <w:rsid w:val="00BA45E0"/>
    <w:rsid w:val="00BA5104"/>
    <w:rsid w:val="00BA5C5A"/>
    <w:rsid w:val="00BA66E2"/>
    <w:rsid w:val="00BB02F1"/>
    <w:rsid w:val="00BB1691"/>
    <w:rsid w:val="00BB30EF"/>
    <w:rsid w:val="00BB3A5C"/>
    <w:rsid w:val="00BB6800"/>
    <w:rsid w:val="00BB782D"/>
    <w:rsid w:val="00BB7BDF"/>
    <w:rsid w:val="00BC0918"/>
    <w:rsid w:val="00BC11DC"/>
    <w:rsid w:val="00BC1621"/>
    <w:rsid w:val="00BC217A"/>
    <w:rsid w:val="00BC248B"/>
    <w:rsid w:val="00BC2C67"/>
    <w:rsid w:val="00BC3922"/>
    <w:rsid w:val="00BC5410"/>
    <w:rsid w:val="00BC5451"/>
    <w:rsid w:val="00BC590E"/>
    <w:rsid w:val="00BC5D88"/>
    <w:rsid w:val="00BC7082"/>
    <w:rsid w:val="00BC76CF"/>
    <w:rsid w:val="00BD3781"/>
    <w:rsid w:val="00BD3A97"/>
    <w:rsid w:val="00BD53AA"/>
    <w:rsid w:val="00BD6580"/>
    <w:rsid w:val="00BD6740"/>
    <w:rsid w:val="00BD7A65"/>
    <w:rsid w:val="00BE095C"/>
    <w:rsid w:val="00BE1449"/>
    <w:rsid w:val="00BE1569"/>
    <w:rsid w:val="00BE1FA8"/>
    <w:rsid w:val="00BE4396"/>
    <w:rsid w:val="00BE644C"/>
    <w:rsid w:val="00BE671E"/>
    <w:rsid w:val="00BE7005"/>
    <w:rsid w:val="00BF18C8"/>
    <w:rsid w:val="00BF3AE0"/>
    <w:rsid w:val="00BF3F9F"/>
    <w:rsid w:val="00BF4A40"/>
    <w:rsid w:val="00BF4D24"/>
    <w:rsid w:val="00BF642A"/>
    <w:rsid w:val="00BF6783"/>
    <w:rsid w:val="00BF689E"/>
    <w:rsid w:val="00BF6C36"/>
    <w:rsid w:val="00C00793"/>
    <w:rsid w:val="00C04371"/>
    <w:rsid w:val="00C04BD2"/>
    <w:rsid w:val="00C05155"/>
    <w:rsid w:val="00C06F4C"/>
    <w:rsid w:val="00C07CB2"/>
    <w:rsid w:val="00C1058E"/>
    <w:rsid w:val="00C10A9A"/>
    <w:rsid w:val="00C1179D"/>
    <w:rsid w:val="00C1218D"/>
    <w:rsid w:val="00C12AFF"/>
    <w:rsid w:val="00C14181"/>
    <w:rsid w:val="00C15DE9"/>
    <w:rsid w:val="00C15FFC"/>
    <w:rsid w:val="00C165FB"/>
    <w:rsid w:val="00C16758"/>
    <w:rsid w:val="00C16A4E"/>
    <w:rsid w:val="00C16F97"/>
    <w:rsid w:val="00C176BC"/>
    <w:rsid w:val="00C17F1F"/>
    <w:rsid w:val="00C21ECA"/>
    <w:rsid w:val="00C22EDF"/>
    <w:rsid w:val="00C241EC"/>
    <w:rsid w:val="00C26FDA"/>
    <w:rsid w:val="00C2731D"/>
    <w:rsid w:val="00C27945"/>
    <w:rsid w:val="00C27C67"/>
    <w:rsid w:val="00C302F2"/>
    <w:rsid w:val="00C31795"/>
    <w:rsid w:val="00C3228D"/>
    <w:rsid w:val="00C32AB3"/>
    <w:rsid w:val="00C339FC"/>
    <w:rsid w:val="00C33B1D"/>
    <w:rsid w:val="00C41B5E"/>
    <w:rsid w:val="00C42173"/>
    <w:rsid w:val="00C43028"/>
    <w:rsid w:val="00C44869"/>
    <w:rsid w:val="00C45A44"/>
    <w:rsid w:val="00C45E13"/>
    <w:rsid w:val="00C514AA"/>
    <w:rsid w:val="00C51DB4"/>
    <w:rsid w:val="00C52FB0"/>
    <w:rsid w:val="00C5358F"/>
    <w:rsid w:val="00C53A52"/>
    <w:rsid w:val="00C53E2E"/>
    <w:rsid w:val="00C53FEF"/>
    <w:rsid w:val="00C56DC0"/>
    <w:rsid w:val="00C57329"/>
    <w:rsid w:val="00C600DB"/>
    <w:rsid w:val="00C61089"/>
    <w:rsid w:val="00C613D9"/>
    <w:rsid w:val="00C620B3"/>
    <w:rsid w:val="00C62934"/>
    <w:rsid w:val="00C62C6E"/>
    <w:rsid w:val="00C6346A"/>
    <w:rsid w:val="00C6366E"/>
    <w:rsid w:val="00C64529"/>
    <w:rsid w:val="00C6478B"/>
    <w:rsid w:val="00C6494A"/>
    <w:rsid w:val="00C64EFE"/>
    <w:rsid w:val="00C65156"/>
    <w:rsid w:val="00C67ACB"/>
    <w:rsid w:val="00C712B9"/>
    <w:rsid w:val="00C71DDF"/>
    <w:rsid w:val="00C72E60"/>
    <w:rsid w:val="00C73313"/>
    <w:rsid w:val="00C73671"/>
    <w:rsid w:val="00C74312"/>
    <w:rsid w:val="00C74516"/>
    <w:rsid w:val="00C74742"/>
    <w:rsid w:val="00C75A1E"/>
    <w:rsid w:val="00C762A0"/>
    <w:rsid w:val="00C76963"/>
    <w:rsid w:val="00C801DA"/>
    <w:rsid w:val="00C82C29"/>
    <w:rsid w:val="00C849A9"/>
    <w:rsid w:val="00C84D43"/>
    <w:rsid w:val="00C84EA2"/>
    <w:rsid w:val="00C86847"/>
    <w:rsid w:val="00C872AF"/>
    <w:rsid w:val="00C878C0"/>
    <w:rsid w:val="00C90E9B"/>
    <w:rsid w:val="00C9212B"/>
    <w:rsid w:val="00C96D3A"/>
    <w:rsid w:val="00CA1186"/>
    <w:rsid w:val="00CA4BE3"/>
    <w:rsid w:val="00CA4F7E"/>
    <w:rsid w:val="00CA6D84"/>
    <w:rsid w:val="00CA7996"/>
    <w:rsid w:val="00CA7DD3"/>
    <w:rsid w:val="00CB10CB"/>
    <w:rsid w:val="00CB1263"/>
    <w:rsid w:val="00CB1459"/>
    <w:rsid w:val="00CB1552"/>
    <w:rsid w:val="00CB2E4A"/>
    <w:rsid w:val="00CB3144"/>
    <w:rsid w:val="00CB425F"/>
    <w:rsid w:val="00CB50B0"/>
    <w:rsid w:val="00CB5646"/>
    <w:rsid w:val="00CB56AF"/>
    <w:rsid w:val="00CB6BBD"/>
    <w:rsid w:val="00CB6FB6"/>
    <w:rsid w:val="00CB76A3"/>
    <w:rsid w:val="00CB7D55"/>
    <w:rsid w:val="00CB7EF9"/>
    <w:rsid w:val="00CB7F4D"/>
    <w:rsid w:val="00CC16BF"/>
    <w:rsid w:val="00CC2D28"/>
    <w:rsid w:val="00CC30FB"/>
    <w:rsid w:val="00CC3530"/>
    <w:rsid w:val="00CC4B18"/>
    <w:rsid w:val="00CC4C9A"/>
    <w:rsid w:val="00CC58C8"/>
    <w:rsid w:val="00CC599F"/>
    <w:rsid w:val="00CC5A96"/>
    <w:rsid w:val="00CC606F"/>
    <w:rsid w:val="00CC67F9"/>
    <w:rsid w:val="00CC79E6"/>
    <w:rsid w:val="00CD12B2"/>
    <w:rsid w:val="00CD2614"/>
    <w:rsid w:val="00CD2D1C"/>
    <w:rsid w:val="00CD3907"/>
    <w:rsid w:val="00CD4A73"/>
    <w:rsid w:val="00CD4D57"/>
    <w:rsid w:val="00CD50A1"/>
    <w:rsid w:val="00CD637D"/>
    <w:rsid w:val="00CD649D"/>
    <w:rsid w:val="00CD67CC"/>
    <w:rsid w:val="00CD7B30"/>
    <w:rsid w:val="00CE2204"/>
    <w:rsid w:val="00CE2D2F"/>
    <w:rsid w:val="00CE328A"/>
    <w:rsid w:val="00CE4754"/>
    <w:rsid w:val="00CE665F"/>
    <w:rsid w:val="00CF0CBA"/>
    <w:rsid w:val="00CF254B"/>
    <w:rsid w:val="00CF3D9E"/>
    <w:rsid w:val="00CF42BC"/>
    <w:rsid w:val="00CF56C3"/>
    <w:rsid w:val="00CF597B"/>
    <w:rsid w:val="00CF6630"/>
    <w:rsid w:val="00CF6FBC"/>
    <w:rsid w:val="00CF7958"/>
    <w:rsid w:val="00CF7D46"/>
    <w:rsid w:val="00D0032D"/>
    <w:rsid w:val="00D00B99"/>
    <w:rsid w:val="00D00C0A"/>
    <w:rsid w:val="00D01A27"/>
    <w:rsid w:val="00D01FE3"/>
    <w:rsid w:val="00D037BE"/>
    <w:rsid w:val="00D03D4C"/>
    <w:rsid w:val="00D04474"/>
    <w:rsid w:val="00D04550"/>
    <w:rsid w:val="00D05E0A"/>
    <w:rsid w:val="00D07BBC"/>
    <w:rsid w:val="00D07FCB"/>
    <w:rsid w:val="00D10028"/>
    <w:rsid w:val="00D102FC"/>
    <w:rsid w:val="00D11D3D"/>
    <w:rsid w:val="00D13BB9"/>
    <w:rsid w:val="00D13F64"/>
    <w:rsid w:val="00D15086"/>
    <w:rsid w:val="00D15796"/>
    <w:rsid w:val="00D16189"/>
    <w:rsid w:val="00D2077B"/>
    <w:rsid w:val="00D2154E"/>
    <w:rsid w:val="00D2223D"/>
    <w:rsid w:val="00D266D5"/>
    <w:rsid w:val="00D268C1"/>
    <w:rsid w:val="00D274DD"/>
    <w:rsid w:val="00D27E44"/>
    <w:rsid w:val="00D32740"/>
    <w:rsid w:val="00D32E48"/>
    <w:rsid w:val="00D33237"/>
    <w:rsid w:val="00D33FBD"/>
    <w:rsid w:val="00D3507C"/>
    <w:rsid w:val="00D3546D"/>
    <w:rsid w:val="00D3592A"/>
    <w:rsid w:val="00D36141"/>
    <w:rsid w:val="00D3703E"/>
    <w:rsid w:val="00D408C7"/>
    <w:rsid w:val="00D42D66"/>
    <w:rsid w:val="00D42FE3"/>
    <w:rsid w:val="00D446B8"/>
    <w:rsid w:val="00D459FC"/>
    <w:rsid w:val="00D50872"/>
    <w:rsid w:val="00D50A2E"/>
    <w:rsid w:val="00D50D43"/>
    <w:rsid w:val="00D51053"/>
    <w:rsid w:val="00D52044"/>
    <w:rsid w:val="00D5211E"/>
    <w:rsid w:val="00D542A0"/>
    <w:rsid w:val="00D54376"/>
    <w:rsid w:val="00D552AC"/>
    <w:rsid w:val="00D55E6C"/>
    <w:rsid w:val="00D55EE6"/>
    <w:rsid w:val="00D576F0"/>
    <w:rsid w:val="00D57E3A"/>
    <w:rsid w:val="00D60384"/>
    <w:rsid w:val="00D6163F"/>
    <w:rsid w:val="00D616C1"/>
    <w:rsid w:val="00D61E47"/>
    <w:rsid w:val="00D6206B"/>
    <w:rsid w:val="00D62250"/>
    <w:rsid w:val="00D64468"/>
    <w:rsid w:val="00D6509F"/>
    <w:rsid w:val="00D651BA"/>
    <w:rsid w:val="00D657EF"/>
    <w:rsid w:val="00D65B8F"/>
    <w:rsid w:val="00D65E3C"/>
    <w:rsid w:val="00D65E6A"/>
    <w:rsid w:val="00D705DF"/>
    <w:rsid w:val="00D70EC4"/>
    <w:rsid w:val="00D71225"/>
    <w:rsid w:val="00D7185F"/>
    <w:rsid w:val="00D72990"/>
    <w:rsid w:val="00D73530"/>
    <w:rsid w:val="00D739DD"/>
    <w:rsid w:val="00D73E82"/>
    <w:rsid w:val="00D745D5"/>
    <w:rsid w:val="00D74B3E"/>
    <w:rsid w:val="00D76C6A"/>
    <w:rsid w:val="00D7705E"/>
    <w:rsid w:val="00D77422"/>
    <w:rsid w:val="00D803C4"/>
    <w:rsid w:val="00D80DCE"/>
    <w:rsid w:val="00D8102C"/>
    <w:rsid w:val="00D82668"/>
    <w:rsid w:val="00D834A3"/>
    <w:rsid w:val="00D857C1"/>
    <w:rsid w:val="00D86AC7"/>
    <w:rsid w:val="00D90BF0"/>
    <w:rsid w:val="00D91415"/>
    <w:rsid w:val="00D93021"/>
    <w:rsid w:val="00D93644"/>
    <w:rsid w:val="00D93AA9"/>
    <w:rsid w:val="00D94052"/>
    <w:rsid w:val="00D975C6"/>
    <w:rsid w:val="00D97F0C"/>
    <w:rsid w:val="00DA05FE"/>
    <w:rsid w:val="00DA2BA4"/>
    <w:rsid w:val="00DA4083"/>
    <w:rsid w:val="00DA4D3A"/>
    <w:rsid w:val="00DA565A"/>
    <w:rsid w:val="00DA7748"/>
    <w:rsid w:val="00DB0B6F"/>
    <w:rsid w:val="00DB1952"/>
    <w:rsid w:val="00DB200C"/>
    <w:rsid w:val="00DB32AF"/>
    <w:rsid w:val="00DB49F9"/>
    <w:rsid w:val="00DB58EE"/>
    <w:rsid w:val="00DB6933"/>
    <w:rsid w:val="00DB6F1A"/>
    <w:rsid w:val="00DB70D3"/>
    <w:rsid w:val="00DB712F"/>
    <w:rsid w:val="00DC00AA"/>
    <w:rsid w:val="00DC0502"/>
    <w:rsid w:val="00DC0DA2"/>
    <w:rsid w:val="00DC0DDF"/>
    <w:rsid w:val="00DC1D4E"/>
    <w:rsid w:val="00DC364C"/>
    <w:rsid w:val="00DC43AE"/>
    <w:rsid w:val="00DC5F60"/>
    <w:rsid w:val="00DD0B88"/>
    <w:rsid w:val="00DD0CD2"/>
    <w:rsid w:val="00DD1C69"/>
    <w:rsid w:val="00DD2931"/>
    <w:rsid w:val="00DD5725"/>
    <w:rsid w:val="00DD6037"/>
    <w:rsid w:val="00DD65EC"/>
    <w:rsid w:val="00DD787E"/>
    <w:rsid w:val="00DD7C98"/>
    <w:rsid w:val="00DE1402"/>
    <w:rsid w:val="00DE1A2E"/>
    <w:rsid w:val="00DE1BAD"/>
    <w:rsid w:val="00DE1F78"/>
    <w:rsid w:val="00DE29ED"/>
    <w:rsid w:val="00DE2F51"/>
    <w:rsid w:val="00DE2F98"/>
    <w:rsid w:val="00DE5510"/>
    <w:rsid w:val="00DE679C"/>
    <w:rsid w:val="00DE6974"/>
    <w:rsid w:val="00DE6E2B"/>
    <w:rsid w:val="00DF3311"/>
    <w:rsid w:val="00DF5B18"/>
    <w:rsid w:val="00DF66CA"/>
    <w:rsid w:val="00DF6F6B"/>
    <w:rsid w:val="00DF745C"/>
    <w:rsid w:val="00DF7F94"/>
    <w:rsid w:val="00E02B37"/>
    <w:rsid w:val="00E06294"/>
    <w:rsid w:val="00E068E5"/>
    <w:rsid w:val="00E0725B"/>
    <w:rsid w:val="00E075DD"/>
    <w:rsid w:val="00E116F6"/>
    <w:rsid w:val="00E121F9"/>
    <w:rsid w:val="00E133C9"/>
    <w:rsid w:val="00E1389A"/>
    <w:rsid w:val="00E16273"/>
    <w:rsid w:val="00E17550"/>
    <w:rsid w:val="00E200D8"/>
    <w:rsid w:val="00E21272"/>
    <w:rsid w:val="00E23D5C"/>
    <w:rsid w:val="00E24935"/>
    <w:rsid w:val="00E26929"/>
    <w:rsid w:val="00E3312D"/>
    <w:rsid w:val="00E33EE8"/>
    <w:rsid w:val="00E340DD"/>
    <w:rsid w:val="00E3443F"/>
    <w:rsid w:val="00E3498C"/>
    <w:rsid w:val="00E36650"/>
    <w:rsid w:val="00E36F43"/>
    <w:rsid w:val="00E37E10"/>
    <w:rsid w:val="00E37E68"/>
    <w:rsid w:val="00E40682"/>
    <w:rsid w:val="00E4126A"/>
    <w:rsid w:val="00E42D3C"/>
    <w:rsid w:val="00E42E02"/>
    <w:rsid w:val="00E44201"/>
    <w:rsid w:val="00E44998"/>
    <w:rsid w:val="00E45FA3"/>
    <w:rsid w:val="00E468D5"/>
    <w:rsid w:val="00E46DA1"/>
    <w:rsid w:val="00E471E4"/>
    <w:rsid w:val="00E50137"/>
    <w:rsid w:val="00E504F4"/>
    <w:rsid w:val="00E51079"/>
    <w:rsid w:val="00E52223"/>
    <w:rsid w:val="00E52AD1"/>
    <w:rsid w:val="00E54D03"/>
    <w:rsid w:val="00E5507C"/>
    <w:rsid w:val="00E558C0"/>
    <w:rsid w:val="00E576F1"/>
    <w:rsid w:val="00E615C4"/>
    <w:rsid w:val="00E6228D"/>
    <w:rsid w:val="00E627CF"/>
    <w:rsid w:val="00E64EF7"/>
    <w:rsid w:val="00E65A82"/>
    <w:rsid w:val="00E66500"/>
    <w:rsid w:val="00E667A7"/>
    <w:rsid w:val="00E672CD"/>
    <w:rsid w:val="00E67C83"/>
    <w:rsid w:val="00E711CD"/>
    <w:rsid w:val="00E7211A"/>
    <w:rsid w:val="00E721B9"/>
    <w:rsid w:val="00E723CC"/>
    <w:rsid w:val="00E751E3"/>
    <w:rsid w:val="00E76F4C"/>
    <w:rsid w:val="00E77815"/>
    <w:rsid w:val="00E77A02"/>
    <w:rsid w:val="00E77D32"/>
    <w:rsid w:val="00E8135A"/>
    <w:rsid w:val="00E81CD7"/>
    <w:rsid w:val="00E82940"/>
    <w:rsid w:val="00E8329B"/>
    <w:rsid w:val="00E83C8D"/>
    <w:rsid w:val="00E8405D"/>
    <w:rsid w:val="00E84289"/>
    <w:rsid w:val="00E85532"/>
    <w:rsid w:val="00E8598C"/>
    <w:rsid w:val="00E86717"/>
    <w:rsid w:val="00E878F8"/>
    <w:rsid w:val="00E90D2D"/>
    <w:rsid w:val="00E916E1"/>
    <w:rsid w:val="00E93A0D"/>
    <w:rsid w:val="00E93EAD"/>
    <w:rsid w:val="00E9720D"/>
    <w:rsid w:val="00E97A05"/>
    <w:rsid w:val="00EA0DEE"/>
    <w:rsid w:val="00EA1A4A"/>
    <w:rsid w:val="00EA2AFC"/>
    <w:rsid w:val="00EA3B1C"/>
    <w:rsid w:val="00EA4B69"/>
    <w:rsid w:val="00EA5610"/>
    <w:rsid w:val="00EA6574"/>
    <w:rsid w:val="00EA7E99"/>
    <w:rsid w:val="00EB0D27"/>
    <w:rsid w:val="00EB19B9"/>
    <w:rsid w:val="00EB2A20"/>
    <w:rsid w:val="00EB2FC7"/>
    <w:rsid w:val="00EB6393"/>
    <w:rsid w:val="00EB73CA"/>
    <w:rsid w:val="00EC0007"/>
    <w:rsid w:val="00EC0346"/>
    <w:rsid w:val="00EC108B"/>
    <w:rsid w:val="00EC12B3"/>
    <w:rsid w:val="00EC12ED"/>
    <w:rsid w:val="00EC26F0"/>
    <w:rsid w:val="00EC4EB0"/>
    <w:rsid w:val="00EC60BE"/>
    <w:rsid w:val="00EC74E8"/>
    <w:rsid w:val="00EC7CB6"/>
    <w:rsid w:val="00EC7E01"/>
    <w:rsid w:val="00ED243D"/>
    <w:rsid w:val="00ED2553"/>
    <w:rsid w:val="00ED33EC"/>
    <w:rsid w:val="00ED4A37"/>
    <w:rsid w:val="00ED4CFD"/>
    <w:rsid w:val="00ED5CBC"/>
    <w:rsid w:val="00ED672C"/>
    <w:rsid w:val="00ED7EB7"/>
    <w:rsid w:val="00EE0767"/>
    <w:rsid w:val="00EE14ED"/>
    <w:rsid w:val="00EE216C"/>
    <w:rsid w:val="00EE22B1"/>
    <w:rsid w:val="00EE2470"/>
    <w:rsid w:val="00EE305F"/>
    <w:rsid w:val="00EE31FE"/>
    <w:rsid w:val="00EE31FF"/>
    <w:rsid w:val="00EE3A10"/>
    <w:rsid w:val="00EE4103"/>
    <w:rsid w:val="00EE42D0"/>
    <w:rsid w:val="00EE4EAC"/>
    <w:rsid w:val="00EE5276"/>
    <w:rsid w:val="00EE52BF"/>
    <w:rsid w:val="00EE5781"/>
    <w:rsid w:val="00EE5875"/>
    <w:rsid w:val="00EE5921"/>
    <w:rsid w:val="00EE5A79"/>
    <w:rsid w:val="00EE5C0D"/>
    <w:rsid w:val="00EE7FA0"/>
    <w:rsid w:val="00EF053D"/>
    <w:rsid w:val="00EF0581"/>
    <w:rsid w:val="00EF0C10"/>
    <w:rsid w:val="00EF0C8D"/>
    <w:rsid w:val="00EF10CB"/>
    <w:rsid w:val="00EF2290"/>
    <w:rsid w:val="00EF294B"/>
    <w:rsid w:val="00EF3126"/>
    <w:rsid w:val="00EF322C"/>
    <w:rsid w:val="00EF3734"/>
    <w:rsid w:val="00EF509A"/>
    <w:rsid w:val="00EF50ED"/>
    <w:rsid w:val="00EF5276"/>
    <w:rsid w:val="00EF69CC"/>
    <w:rsid w:val="00EF7578"/>
    <w:rsid w:val="00F01A70"/>
    <w:rsid w:val="00F02067"/>
    <w:rsid w:val="00F0275B"/>
    <w:rsid w:val="00F02913"/>
    <w:rsid w:val="00F032F2"/>
    <w:rsid w:val="00F050C8"/>
    <w:rsid w:val="00F06016"/>
    <w:rsid w:val="00F063CA"/>
    <w:rsid w:val="00F07169"/>
    <w:rsid w:val="00F07435"/>
    <w:rsid w:val="00F0778A"/>
    <w:rsid w:val="00F07EA0"/>
    <w:rsid w:val="00F10B1F"/>
    <w:rsid w:val="00F12ECF"/>
    <w:rsid w:val="00F14FB4"/>
    <w:rsid w:val="00F1557D"/>
    <w:rsid w:val="00F1618A"/>
    <w:rsid w:val="00F16E9E"/>
    <w:rsid w:val="00F17BE0"/>
    <w:rsid w:val="00F2003B"/>
    <w:rsid w:val="00F24B57"/>
    <w:rsid w:val="00F24F69"/>
    <w:rsid w:val="00F25454"/>
    <w:rsid w:val="00F25929"/>
    <w:rsid w:val="00F271B2"/>
    <w:rsid w:val="00F30117"/>
    <w:rsid w:val="00F301C5"/>
    <w:rsid w:val="00F30E2E"/>
    <w:rsid w:val="00F33E28"/>
    <w:rsid w:val="00F34696"/>
    <w:rsid w:val="00F358D0"/>
    <w:rsid w:val="00F36321"/>
    <w:rsid w:val="00F37AA0"/>
    <w:rsid w:val="00F41E93"/>
    <w:rsid w:val="00F4205C"/>
    <w:rsid w:val="00F421D3"/>
    <w:rsid w:val="00F42531"/>
    <w:rsid w:val="00F43777"/>
    <w:rsid w:val="00F46EA8"/>
    <w:rsid w:val="00F47ECB"/>
    <w:rsid w:val="00F51F08"/>
    <w:rsid w:val="00F5241E"/>
    <w:rsid w:val="00F559EB"/>
    <w:rsid w:val="00F56BA9"/>
    <w:rsid w:val="00F56E75"/>
    <w:rsid w:val="00F56E77"/>
    <w:rsid w:val="00F6036B"/>
    <w:rsid w:val="00F60CAB"/>
    <w:rsid w:val="00F61495"/>
    <w:rsid w:val="00F63051"/>
    <w:rsid w:val="00F631C1"/>
    <w:rsid w:val="00F6581C"/>
    <w:rsid w:val="00F65F8E"/>
    <w:rsid w:val="00F67360"/>
    <w:rsid w:val="00F67717"/>
    <w:rsid w:val="00F67ADE"/>
    <w:rsid w:val="00F70138"/>
    <w:rsid w:val="00F70E20"/>
    <w:rsid w:val="00F71BD8"/>
    <w:rsid w:val="00F7354D"/>
    <w:rsid w:val="00F76C57"/>
    <w:rsid w:val="00F7768A"/>
    <w:rsid w:val="00F81260"/>
    <w:rsid w:val="00F82500"/>
    <w:rsid w:val="00F83220"/>
    <w:rsid w:val="00F8435A"/>
    <w:rsid w:val="00F854D5"/>
    <w:rsid w:val="00F86882"/>
    <w:rsid w:val="00F8730E"/>
    <w:rsid w:val="00F87B9C"/>
    <w:rsid w:val="00F90722"/>
    <w:rsid w:val="00F91A2E"/>
    <w:rsid w:val="00F92747"/>
    <w:rsid w:val="00F934D6"/>
    <w:rsid w:val="00F93CD5"/>
    <w:rsid w:val="00F95097"/>
    <w:rsid w:val="00F95718"/>
    <w:rsid w:val="00F95D74"/>
    <w:rsid w:val="00F969CA"/>
    <w:rsid w:val="00F978C4"/>
    <w:rsid w:val="00FA00E1"/>
    <w:rsid w:val="00FA08DF"/>
    <w:rsid w:val="00FA232C"/>
    <w:rsid w:val="00FA24F2"/>
    <w:rsid w:val="00FA3093"/>
    <w:rsid w:val="00FA44DB"/>
    <w:rsid w:val="00FA6A1A"/>
    <w:rsid w:val="00FA6B64"/>
    <w:rsid w:val="00FA6C6E"/>
    <w:rsid w:val="00FA6F1F"/>
    <w:rsid w:val="00FA7B98"/>
    <w:rsid w:val="00FB1ACD"/>
    <w:rsid w:val="00FB265E"/>
    <w:rsid w:val="00FB2A1A"/>
    <w:rsid w:val="00FB3191"/>
    <w:rsid w:val="00FB3513"/>
    <w:rsid w:val="00FB36BD"/>
    <w:rsid w:val="00FB5A83"/>
    <w:rsid w:val="00FC0B14"/>
    <w:rsid w:val="00FC11BF"/>
    <w:rsid w:val="00FC1321"/>
    <w:rsid w:val="00FC13C9"/>
    <w:rsid w:val="00FC24CE"/>
    <w:rsid w:val="00FC2886"/>
    <w:rsid w:val="00FC33F8"/>
    <w:rsid w:val="00FC4490"/>
    <w:rsid w:val="00FC475E"/>
    <w:rsid w:val="00FC550A"/>
    <w:rsid w:val="00FC633C"/>
    <w:rsid w:val="00FC6D19"/>
    <w:rsid w:val="00FC6D35"/>
    <w:rsid w:val="00FC77C4"/>
    <w:rsid w:val="00FC7F0A"/>
    <w:rsid w:val="00FD0BA2"/>
    <w:rsid w:val="00FD0C0D"/>
    <w:rsid w:val="00FD0DE3"/>
    <w:rsid w:val="00FD14A0"/>
    <w:rsid w:val="00FD1993"/>
    <w:rsid w:val="00FD28D1"/>
    <w:rsid w:val="00FD373C"/>
    <w:rsid w:val="00FD67CC"/>
    <w:rsid w:val="00FD6A22"/>
    <w:rsid w:val="00FD7904"/>
    <w:rsid w:val="00FE06D3"/>
    <w:rsid w:val="00FE136F"/>
    <w:rsid w:val="00FE1501"/>
    <w:rsid w:val="00FE1811"/>
    <w:rsid w:val="00FE2247"/>
    <w:rsid w:val="00FE2B9C"/>
    <w:rsid w:val="00FE314E"/>
    <w:rsid w:val="00FE32D7"/>
    <w:rsid w:val="00FE3604"/>
    <w:rsid w:val="00FE3D08"/>
    <w:rsid w:val="00FE40F8"/>
    <w:rsid w:val="00FE467D"/>
    <w:rsid w:val="00FE50FA"/>
    <w:rsid w:val="00FE5665"/>
    <w:rsid w:val="00FE5CF1"/>
    <w:rsid w:val="00FE65B4"/>
    <w:rsid w:val="00FE6FBB"/>
    <w:rsid w:val="00FE79A8"/>
    <w:rsid w:val="00FF1FC5"/>
    <w:rsid w:val="00FF30DA"/>
    <w:rsid w:val="00FF3DC0"/>
    <w:rsid w:val="00FF4293"/>
    <w:rsid w:val="00FF4DA2"/>
    <w:rsid w:val="00FF5553"/>
    <w:rsid w:val="00FF5EAA"/>
    <w:rsid w:val="00FF6D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5B533A"/>
  <w15:chartTrackingRefBased/>
  <w15:docId w15:val="{33D37F91-E3CE-A340-BBBA-EB54A81337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D93AA9"/>
    <w:rPr>
      <w:rFonts w:ascii="Times New Roman" w:eastAsia="Times New Roman" w:hAnsi="Times New Roman" w:cs="Times New Roman"/>
    </w:rPr>
  </w:style>
  <w:style w:type="paragraph" w:styleId="Heading1">
    <w:name w:val="heading 1"/>
    <w:basedOn w:val="Normal"/>
    <w:next w:val="Normal"/>
    <w:link w:val="Heading1Char"/>
    <w:uiPriority w:val="9"/>
    <w:qFormat/>
    <w:rsid w:val="00FB2A1A"/>
    <w:pPr>
      <w:spacing w:line="480" w:lineRule="auto"/>
      <w:jc w:val="center"/>
      <w:outlineLvl w:val="0"/>
    </w:pPr>
    <w:rPr>
      <w:rFonts w:eastAsiaTheme="minorHAnsi"/>
      <w:b/>
      <w:szCs w:val="22"/>
    </w:rPr>
  </w:style>
  <w:style w:type="paragraph" w:styleId="Heading2">
    <w:name w:val="heading 2"/>
    <w:basedOn w:val="Normal"/>
    <w:next w:val="Normal"/>
    <w:link w:val="Heading2Char"/>
    <w:uiPriority w:val="9"/>
    <w:unhideWhenUsed/>
    <w:qFormat/>
    <w:rsid w:val="00FB2A1A"/>
    <w:pPr>
      <w:spacing w:line="480" w:lineRule="auto"/>
      <w:outlineLvl w:val="1"/>
    </w:pPr>
    <w:rPr>
      <w:b/>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F56C3"/>
    <w:pPr>
      <w:spacing w:after="160" w:line="259" w:lineRule="auto"/>
      <w:ind w:left="720"/>
      <w:contextualSpacing/>
    </w:pPr>
    <w:rPr>
      <w:rFonts w:eastAsiaTheme="minorHAnsi"/>
      <w:szCs w:val="22"/>
    </w:rPr>
  </w:style>
  <w:style w:type="character" w:styleId="CommentReference">
    <w:name w:val="annotation reference"/>
    <w:basedOn w:val="DefaultParagraphFont"/>
    <w:uiPriority w:val="99"/>
    <w:semiHidden/>
    <w:unhideWhenUsed/>
    <w:rsid w:val="006E5A0E"/>
    <w:rPr>
      <w:sz w:val="16"/>
      <w:szCs w:val="16"/>
    </w:rPr>
  </w:style>
  <w:style w:type="paragraph" w:styleId="CommentText">
    <w:name w:val="annotation text"/>
    <w:basedOn w:val="Normal"/>
    <w:link w:val="CommentTextChar"/>
    <w:uiPriority w:val="99"/>
    <w:unhideWhenUsed/>
    <w:rsid w:val="006E5A0E"/>
    <w:pPr>
      <w:spacing w:after="200"/>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rsid w:val="006E5A0E"/>
    <w:rPr>
      <w:sz w:val="20"/>
      <w:szCs w:val="20"/>
    </w:rPr>
  </w:style>
  <w:style w:type="paragraph" w:styleId="BalloonText">
    <w:name w:val="Balloon Text"/>
    <w:basedOn w:val="Normal"/>
    <w:link w:val="BalloonTextChar"/>
    <w:uiPriority w:val="99"/>
    <w:semiHidden/>
    <w:unhideWhenUsed/>
    <w:rsid w:val="006E5A0E"/>
    <w:rPr>
      <w:sz w:val="18"/>
      <w:szCs w:val="18"/>
    </w:rPr>
  </w:style>
  <w:style w:type="character" w:customStyle="1" w:styleId="BalloonTextChar">
    <w:name w:val="Balloon Text Char"/>
    <w:basedOn w:val="DefaultParagraphFont"/>
    <w:link w:val="BalloonText"/>
    <w:uiPriority w:val="99"/>
    <w:semiHidden/>
    <w:rsid w:val="006E5A0E"/>
    <w:rPr>
      <w:rFonts w:ascii="Times New Roman" w:hAnsi="Times New Roman" w:cs="Times New Roman"/>
      <w:sz w:val="18"/>
      <w:szCs w:val="18"/>
    </w:rPr>
  </w:style>
  <w:style w:type="paragraph" w:styleId="CommentSubject">
    <w:name w:val="annotation subject"/>
    <w:basedOn w:val="CommentText"/>
    <w:next w:val="CommentText"/>
    <w:link w:val="CommentSubjectChar"/>
    <w:uiPriority w:val="99"/>
    <w:semiHidden/>
    <w:unhideWhenUsed/>
    <w:rsid w:val="00083D66"/>
    <w:pPr>
      <w:spacing w:after="160"/>
    </w:pPr>
    <w:rPr>
      <w:rFonts w:ascii="Times New Roman" w:hAnsi="Times New Roman" w:cs="Times New Roman"/>
      <w:b/>
      <w:bCs/>
    </w:rPr>
  </w:style>
  <w:style w:type="character" w:customStyle="1" w:styleId="CommentSubjectChar">
    <w:name w:val="Comment Subject Char"/>
    <w:basedOn w:val="CommentTextChar"/>
    <w:link w:val="CommentSubject"/>
    <w:uiPriority w:val="99"/>
    <w:semiHidden/>
    <w:rsid w:val="00083D66"/>
    <w:rPr>
      <w:rFonts w:ascii="Times New Roman" w:hAnsi="Times New Roman" w:cs="Times New Roman"/>
      <w:b/>
      <w:bCs/>
      <w:sz w:val="20"/>
      <w:szCs w:val="20"/>
    </w:rPr>
  </w:style>
  <w:style w:type="paragraph" w:styleId="Header">
    <w:name w:val="header"/>
    <w:basedOn w:val="Normal"/>
    <w:link w:val="HeaderChar"/>
    <w:uiPriority w:val="99"/>
    <w:unhideWhenUsed/>
    <w:rsid w:val="00024AA2"/>
    <w:pPr>
      <w:tabs>
        <w:tab w:val="center" w:pos="4680"/>
        <w:tab w:val="right" w:pos="9360"/>
      </w:tabs>
    </w:pPr>
  </w:style>
  <w:style w:type="character" w:customStyle="1" w:styleId="HeaderChar">
    <w:name w:val="Header Char"/>
    <w:basedOn w:val="DefaultParagraphFont"/>
    <w:link w:val="Header"/>
    <w:uiPriority w:val="99"/>
    <w:rsid w:val="00024AA2"/>
    <w:rPr>
      <w:rFonts w:ascii="Times New Roman" w:eastAsia="Times New Roman" w:hAnsi="Times New Roman" w:cs="Times New Roman"/>
    </w:rPr>
  </w:style>
  <w:style w:type="paragraph" w:styleId="Footer">
    <w:name w:val="footer"/>
    <w:basedOn w:val="Normal"/>
    <w:link w:val="FooterChar"/>
    <w:uiPriority w:val="99"/>
    <w:unhideWhenUsed/>
    <w:rsid w:val="00024AA2"/>
    <w:pPr>
      <w:tabs>
        <w:tab w:val="center" w:pos="4680"/>
        <w:tab w:val="right" w:pos="9360"/>
      </w:tabs>
    </w:pPr>
  </w:style>
  <w:style w:type="character" w:customStyle="1" w:styleId="FooterChar">
    <w:name w:val="Footer Char"/>
    <w:basedOn w:val="DefaultParagraphFont"/>
    <w:link w:val="Footer"/>
    <w:uiPriority w:val="99"/>
    <w:rsid w:val="00024AA2"/>
    <w:rPr>
      <w:rFonts w:ascii="Times New Roman" w:eastAsia="Times New Roman" w:hAnsi="Times New Roman" w:cs="Times New Roman"/>
    </w:rPr>
  </w:style>
  <w:style w:type="paragraph" w:styleId="FootnoteText">
    <w:name w:val="footnote text"/>
    <w:basedOn w:val="Normal"/>
    <w:link w:val="FootnoteTextChar"/>
    <w:uiPriority w:val="99"/>
    <w:unhideWhenUsed/>
    <w:rsid w:val="003107C8"/>
    <w:rPr>
      <w:sz w:val="20"/>
      <w:szCs w:val="20"/>
    </w:rPr>
  </w:style>
  <w:style w:type="character" w:customStyle="1" w:styleId="FootnoteTextChar">
    <w:name w:val="Footnote Text Char"/>
    <w:basedOn w:val="DefaultParagraphFont"/>
    <w:link w:val="FootnoteText"/>
    <w:uiPriority w:val="99"/>
    <w:rsid w:val="003107C8"/>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3107C8"/>
    <w:rPr>
      <w:vertAlign w:val="superscript"/>
    </w:rPr>
  </w:style>
  <w:style w:type="character" w:styleId="Hyperlink">
    <w:name w:val="Hyperlink"/>
    <w:basedOn w:val="DefaultParagraphFont"/>
    <w:uiPriority w:val="99"/>
    <w:unhideWhenUsed/>
    <w:rsid w:val="009F4C4A"/>
    <w:rPr>
      <w:color w:val="0563C1" w:themeColor="hyperlink"/>
      <w:u w:val="single"/>
    </w:rPr>
  </w:style>
  <w:style w:type="character" w:customStyle="1" w:styleId="UnresolvedMention1">
    <w:name w:val="Unresolved Mention1"/>
    <w:basedOn w:val="DefaultParagraphFont"/>
    <w:uiPriority w:val="99"/>
    <w:semiHidden/>
    <w:unhideWhenUsed/>
    <w:rsid w:val="009F4C4A"/>
    <w:rPr>
      <w:color w:val="605E5C"/>
      <w:shd w:val="clear" w:color="auto" w:fill="E1DFDD"/>
    </w:rPr>
  </w:style>
  <w:style w:type="paragraph" w:styleId="Revision">
    <w:name w:val="Revision"/>
    <w:hidden/>
    <w:uiPriority w:val="99"/>
    <w:semiHidden/>
    <w:rsid w:val="00AA7FFA"/>
    <w:rPr>
      <w:rFonts w:ascii="Times New Roman" w:eastAsia="Times New Roman" w:hAnsi="Times New Roman" w:cs="Times New Roman"/>
    </w:rPr>
  </w:style>
  <w:style w:type="paragraph" w:customStyle="1" w:styleId="EndNoteBibliography">
    <w:name w:val="EndNote Bibliography"/>
    <w:basedOn w:val="Normal"/>
    <w:link w:val="EndNoteBibliographyChar"/>
    <w:rsid w:val="0015506D"/>
    <w:pPr>
      <w:spacing w:after="160"/>
    </w:pPr>
    <w:rPr>
      <w:rFonts w:ascii="Calibri" w:eastAsiaTheme="minorEastAsia" w:hAnsi="Calibri" w:cs="Calibri"/>
      <w:noProof/>
      <w:sz w:val="22"/>
      <w:szCs w:val="22"/>
      <w:lang w:eastAsia="zh-CN"/>
    </w:rPr>
  </w:style>
  <w:style w:type="character" w:customStyle="1" w:styleId="EndNoteBibliographyChar">
    <w:name w:val="EndNote Bibliography Char"/>
    <w:basedOn w:val="DefaultParagraphFont"/>
    <w:link w:val="EndNoteBibliography"/>
    <w:rsid w:val="0015506D"/>
    <w:rPr>
      <w:rFonts w:ascii="Calibri" w:eastAsiaTheme="minorEastAsia" w:hAnsi="Calibri" w:cs="Calibri"/>
      <w:noProof/>
      <w:sz w:val="22"/>
      <w:szCs w:val="22"/>
      <w:lang w:eastAsia="zh-CN"/>
    </w:rPr>
  </w:style>
  <w:style w:type="character" w:styleId="FollowedHyperlink">
    <w:name w:val="FollowedHyperlink"/>
    <w:basedOn w:val="DefaultParagraphFont"/>
    <w:uiPriority w:val="99"/>
    <w:semiHidden/>
    <w:unhideWhenUsed/>
    <w:rsid w:val="00487A34"/>
    <w:rPr>
      <w:color w:val="954F72" w:themeColor="followedHyperlink"/>
      <w:u w:val="single"/>
    </w:rPr>
  </w:style>
  <w:style w:type="character" w:customStyle="1" w:styleId="apple-converted-space">
    <w:name w:val="apple-converted-space"/>
    <w:basedOn w:val="DefaultParagraphFont"/>
    <w:rsid w:val="0056431F"/>
  </w:style>
  <w:style w:type="character" w:customStyle="1" w:styleId="Heading1Char">
    <w:name w:val="Heading 1 Char"/>
    <w:basedOn w:val="DefaultParagraphFont"/>
    <w:link w:val="Heading1"/>
    <w:uiPriority w:val="9"/>
    <w:rsid w:val="00FB2A1A"/>
    <w:rPr>
      <w:rFonts w:ascii="Times New Roman" w:hAnsi="Times New Roman" w:cs="Times New Roman"/>
      <w:b/>
      <w:szCs w:val="22"/>
    </w:rPr>
  </w:style>
  <w:style w:type="character" w:customStyle="1" w:styleId="UnresolvedMention2">
    <w:name w:val="Unresolved Mention2"/>
    <w:basedOn w:val="DefaultParagraphFont"/>
    <w:uiPriority w:val="99"/>
    <w:rsid w:val="00C53A52"/>
    <w:rPr>
      <w:color w:val="605E5C"/>
      <w:shd w:val="clear" w:color="auto" w:fill="E1DFDD"/>
    </w:rPr>
  </w:style>
  <w:style w:type="character" w:customStyle="1" w:styleId="Heading2Char">
    <w:name w:val="Heading 2 Char"/>
    <w:basedOn w:val="DefaultParagraphFont"/>
    <w:link w:val="Heading2"/>
    <w:uiPriority w:val="9"/>
    <w:rsid w:val="00FB2A1A"/>
    <w:rPr>
      <w:rFonts w:ascii="Times New Roman" w:eastAsia="Times New Roman" w:hAnsi="Times New Roman" w:cs="Times New Roman"/>
      <w:b/>
      <w:lang w:val="en-CA"/>
    </w:rPr>
  </w:style>
  <w:style w:type="paragraph" w:styleId="EndnoteText">
    <w:name w:val="endnote text"/>
    <w:basedOn w:val="Normal"/>
    <w:link w:val="EndnoteTextChar"/>
    <w:uiPriority w:val="99"/>
    <w:semiHidden/>
    <w:unhideWhenUsed/>
    <w:rsid w:val="0006224B"/>
    <w:rPr>
      <w:sz w:val="20"/>
      <w:szCs w:val="20"/>
    </w:rPr>
  </w:style>
  <w:style w:type="character" w:customStyle="1" w:styleId="EndnoteTextChar">
    <w:name w:val="Endnote Text Char"/>
    <w:basedOn w:val="DefaultParagraphFont"/>
    <w:link w:val="EndnoteText"/>
    <w:uiPriority w:val="99"/>
    <w:semiHidden/>
    <w:rsid w:val="0006224B"/>
    <w:rPr>
      <w:rFonts w:ascii="Times New Roman" w:eastAsia="Times New Roman" w:hAnsi="Times New Roman" w:cs="Times New Roman"/>
      <w:sz w:val="20"/>
      <w:szCs w:val="20"/>
    </w:rPr>
  </w:style>
  <w:style w:type="character" w:styleId="EndnoteReference">
    <w:name w:val="endnote reference"/>
    <w:basedOn w:val="DefaultParagraphFont"/>
    <w:uiPriority w:val="99"/>
    <w:semiHidden/>
    <w:unhideWhenUsed/>
    <w:rsid w:val="0006224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09561">
      <w:bodyDiv w:val="1"/>
      <w:marLeft w:val="0"/>
      <w:marRight w:val="0"/>
      <w:marTop w:val="0"/>
      <w:marBottom w:val="0"/>
      <w:divBdr>
        <w:top w:val="none" w:sz="0" w:space="0" w:color="auto"/>
        <w:left w:val="none" w:sz="0" w:space="0" w:color="auto"/>
        <w:bottom w:val="none" w:sz="0" w:space="0" w:color="auto"/>
        <w:right w:val="none" w:sz="0" w:space="0" w:color="auto"/>
      </w:divBdr>
    </w:div>
    <w:div w:id="19404773">
      <w:bodyDiv w:val="1"/>
      <w:marLeft w:val="0"/>
      <w:marRight w:val="0"/>
      <w:marTop w:val="0"/>
      <w:marBottom w:val="0"/>
      <w:divBdr>
        <w:top w:val="none" w:sz="0" w:space="0" w:color="auto"/>
        <w:left w:val="none" w:sz="0" w:space="0" w:color="auto"/>
        <w:bottom w:val="none" w:sz="0" w:space="0" w:color="auto"/>
        <w:right w:val="none" w:sz="0" w:space="0" w:color="auto"/>
      </w:divBdr>
    </w:div>
    <w:div w:id="33505766">
      <w:bodyDiv w:val="1"/>
      <w:marLeft w:val="0"/>
      <w:marRight w:val="0"/>
      <w:marTop w:val="0"/>
      <w:marBottom w:val="0"/>
      <w:divBdr>
        <w:top w:val="none" w:sz="0" w:space="0" w:color="auto"/>
        <w:left w:val="none" w:sz="0" w:space="0" w:color="auto"/>
        <w:bottom w:val="none" w:sz="0" w:space="0" w:color="auto"/>
        <w:right w:val="none" w:sz="0" w:space="0" w:color="auto"/>
      </w:divBdr>
    </w:div>
    <w:div w:id="40598082">
      <w:bodyDiv w:val="1"/>
      <w:marLeft w:val="0"/>
      <w:marRight w:val="0"/>
      <w:marTop w:val="0"/>
      <w:marBottom w:val="0"/>
      <w:divBdr>
        <w:top w:val="none" w:sz="0" w:space="0" w:color="auto"/>
        <w:left w:val="none" w:sz="0" w:space="0" w:color="auto"/>
        <w:bottom w:val="none" w:sz="0" w:space="0" w:color="auto"/>
        <w:right w:val="none" w:sz="0" w:space="0" w:color="auto"/>
      </w:divBdr>
    </w:div>
    <w:div w:id="45223834">
      <w:bodyDiv w:val="1"/>
      <w:marLeft w:val="0"/>
      <w:marRight w:val="0"/>
      <w:marTop w:val="0"/>
      <w:marBottom w:val="0"/>
      <w:divBdr>
        <w:top w:val="none" w:sz="0" w:space="0" w:color="auto"/>
        <w:left w:val="none" w:sz="0" w:space="0" w:color="auto"/>
        <w:bottom w:val="none" w:sz="0" w:space="0" w:color="auto"/>
        <w:right w:val="none" w:sz="0" w:space="0" w:color="auto"/>
      </w:divBdr>
    </w:div>
    <w:div w:id="48650872">
      <w:bodyDiv w:val="1"/>
      <w:marLeft w:val="0"/>
      <w:marRight w:val="0"/>
      <w:marTop w:val="0"/>
      <w:marBottom w:val="0"/>
      <w:divBdr>
        <w:top w:val="none" w:sz="0" w:space="0" w:color="auto"/>
        <w:left w:val="none" w:sz="0" w:space="0" w:color="auto"/>
        <w:bottom w:val="none" w:sz="0" w:space="0" w:color="auto"/>
        <w:right w:val="none" w:sz="0" w:space="0" w:color="auto"/>
      </w:divBdr>
    </w:div>
    <w:div w:id="72167181">
      <w:bodyDiv w:val="1"/>
      <w:marLeft w:val="0"/>
      <w:marRight w:val="0"/>
      <w:marTop w:val="0"/>
      <w:marBottom w:val="0"/>
      <w:divBdr>
        <w:top w:val="none" w:sz="0" w:space="0" w:color="auto"/>
        <w:left w:val="none" w:sz="0" w:space="0" w:color="auto"/>
        <w:bottom w:val="none" w:sz="0" w:space="0" w:color="auto"/>
        <w:right w:val="none" w:sz="0" w:space="0" w:color="auto"/>
      </w:divBdr>
    </w:div>
    <w:div w:id="85928885">
      <w:bodyDiv w:val="1"/>
      <w:marLeft w:val="0"/>
      <w:marRight w:val="0"/>
      <w:marTop w:val="0"/>
      <w:marBottom w:val="0"/>
      <w:divBdr>
        <w:top w:val="none" w:sz="0" w:space="0" w:color="auto"/>
        <w:left w:val="none" w:sz="0" w:space="0" w:color="auto"/>
        <w:bottom w:val="none" w:sz="0" w:space="0" w:color="auto"/>
        <w:right w:val="none" w:sz="0" w:space="0" w:color="auto"/>
      </w:divBdr>
    </w:div>
    <w:div w:id="89815928">
      <w:bodyDiv w:val="1"/>
      <w:marLeft w:val="0"/>
      <w:marRight w:val="0"/>
      <w:marTop w:val="0"/>
      <w:marBottom w:val="0"/>
      <w:divBdr>
        <w:top w:val="none" w:sz="0" w:space="0" w:color="auto"/>
        <w:left w:val="none" w:sz="0" w:space="0" w:color="auto"/>
        <w:bottom w:val="none" w:sz="0" w:space="0" w:color="auto"/>
        <w:right w:val="none" w:sz="0" w:space="0" w:color="auto"/>
      </w:divBdr>
    </w:div>
    <w:div w:id="95946758">
      <w:bodyDiv w:val="1"/>
      <w:marLeft w:val="0"/>
      <w:marRight w:val="0"/>
      <w:marTop w:val="0"/>
      <w:marBottom w:val="0"/>
      <w:divBdr>
        <w:top w:val="none" w:sz="0" w:space="0" w:color="auto"/>
        <w:left w:val="none" w:sz="0" w:space="0" w:color="auto"/>
        <w:bottom w:val="none" w:sz="0" w:space="0" w:color="auto"/>
        <w:right w:val="none" w:sz="0" w:space="0" w:color="auto"/>
      </w:divBdr>
    </w:div>
    <w:div w:id="184757118">
      <w:bodyDiv w:val="1"/>
      <w:marLeft w:val="0"/>
      <w:marRight w:val="0"/>
      <w:marTop w:val="0"/>
      <w:marBottom w:val="0"/>
      <w:divBdr>
        <w:top w:val="none" w:sz="0" w:space="0" w:color="auto"/>
        <w:left w:val="none" w:sz="0" w:space="0" w:color="auto"/>
        <w:bottom w:val="none" w:sz="0" w:space="0" w:color="auto"/>
        <w:right w:val="none" w:sz="0" w:space="0" w:color="auto"/>
      </w:divBdr>
    </w:div>
    <w:div w:id="190995927">
      <w:bodyDiv w:val="1"/>
      <w:marLeft w:val="0"/>
      <w:marRight w:val="0"/>
      <w:marTop w:val="0"/>
      <w:marBottom w:val="0"/>
      <w:divBdr>
        <w:top w:val="none" w:sz="0" w:space="0" w:color="auto"/>
        <w:left w:val="none" w:sz="0" w:space="0" w:color="auto"/>
        <w:bottom w:val="none" w:sz="0" w:space="0" w:color="auto"/>
        <w:right w:val="none" w:sz="0" w:space="0" w:color="auto"/>
      </w:divBdr>
    </w:div>
    <w:div w:id="207835441">
      <w:bodyDiv w:val="1"/>
      <w:marLeft w:val="0"/>
      <w:marRight w:val="0"/>
      <w:marTop w:val="0"/>
      <w:marBottom w:val="0"/>
      <w:divBdr>
        <w:top w:val="none" w:sz="0" w:space="0" w:color="auto"/>
        <w:left w:val="none" w:sz="0" w:space="0" w:color="auto"/>
        <w:bottom w:val="none" w:sz="0" w:space="0" w:color="auto"/>
        <w:right w:val="none" w:sz="0" w:space="0" w:color="auto"/>
      </w:divBdr>
    </w:div>
    <w:div w:id="217404903">
      <w:bodyDiv w:val="1"/>
      <w:marLeft w:val="0"/>
      <w:marRight w:val="0"/>
      <w:marTop w:val="0"/>
      <w:marBottom w:val="0"/>
      <w:divBdr>
        <w:top w:val="none" w:sz="0" w:space="0" w:color="auto"/>
        <w:left w:val="none" w:sz="0" w:space="0" w:color="auto"/>
        <w:bottom w:val="none" w:sz="0" w:space="0" w:color="auto"/>
        <w:right w:val="none" w:sz="0" w:space="0" w:color="auto"/>
      </w:divBdr>
    </w:div>
    <w:div w:id="230428767">
      <w:bodyDiv w:val="1"/>
      <w:marLeft w:val="0"/>
      <w:marRight w:val="0"/>
      <w:marTop w:val="0"/>
      <w:marBottom w:val="0"/>
      <w:divBdr>
        <w:top w:val="none" w:sz="0" w:space="0" w:color="auto"/>
        <w:left w:val="none" w:sz="0" w:space="0" w:color="auto"/>
        <w:bottom w:val="none" w:sz="0" w:space="0" w:color="auto"/>
        <w:right w:val="none" w:sz="0" w:space="0" w:color="auto"/>
      </w:divBdr>
    </w:div>
    <w:div w:id="253168585">
      <w:bodyDiv w:val="1"/>
      <w:marLeft w:val="0"/>
      <w:marRight w:val="0"/>
      <w:marTop w:val="0"/>
      <w:marBottom w:val="0"/>
      <w:divBdr>
        <w:top w:val="none" w:sz="0" w:space="0" w:color="auto"/>
        <w:left w:val="none" w:sz="0" w:space="0" w:color="auto"/>
        <w:bottom w:val="none" w:sz="0" w:space="0" w:color="auto"/>
        <w:right w:val="none" w:sz="0" w:space="0" w:color="auto"/>
      </w:divBdr>
    </w:div>
    <w:div w:id="268467119">
      <w:bodyDiv w:val="1"/>
      <w:marLeft w:val="0"/>
      <w:marRight w:val="0"/>
      <w:marTop w:val="0"/>
      <w:marBottom w:val="0"/>
      <w:divBdr>
        <w:top w:val="none" w:sz="0" w:space="0" w:color="auto"/>
        <w:left w:val="none" w:sz="0" w:space="0" w:color="auto"/>
        <w:bottom w:val="none" w:sz="0" w:space="0" w:color="auto"/>
        <w:right w:val="none" w:sz="0" w:space="0" w:color="auto"/>
      </w:divBdr>
    </w:div>
    <w:div w:id="276450631">
      <w:bodyDiv w:val="1"/>
      <w:marLeft w:val="0"/>
      <w:marRight w:val="0"/>
      <w:marTop w:val="0"/>
      <w:marBottom w:val="0"/>
      <w:divBdr>
        <w:top w:val="none" w:sz="0" w:space="0" w:color="auto"/>
        <w:left w:val="none" w:sz="0" w:space="0" w:color="auto"/>
        <w:bottom w:val="none" w:sz="0" w:space="0" w:color="auto"/>
        <w:right w:val="none" w:sz="0" w:space="0" w:color="auto"/>
      </w:divBdr>
    </w:div>
    <w:div w:id="282270672">
      <w:bodyDiv w:val="1"/>
      <w:marLeft w:val="0"/>
      <w:marRight w:val="0"/>
      <w:marTop w:val="0"/>
      <w:marBottom w:val="0"/>
      <w:divBdr>
        <w:top w:val="none" w:sz="0" w:space="0" w:color="auto"/>
        <w:left w:val="none" w:sz="0" w:space="0" w:color="auto"/>
        <w:bottom w:val="none" w:sz="0" w:space="0" w:color="auto"/>
        <w:right w:val="none" w:sz="0" w:space="0" w:color="auto"/>
      </w:divBdr>
    </w:div>
    <w:div w:id="311182975">
      <w:bodyDiv w:val="1"/>
      <w:marLeft w:val="0"/>
      <w:marRight w:val="0"/>
      <w:marTop w:val="0"/>
      <w:marBottom w:val="0"/>
      <w:divBdr>
        <w:top w:val="none" w:sz="0" w:space="0" w:color="auto"/>
        <w:left w:val="none" w:sz="0" w:space="0" w:color="auto"/>
        <w:bottom w:val="none" w:sz="0" w:space="0" w:color="auto"/>
        <w:right w:val="none" w:sz="0" w:space="0" w:color="auto"/>
      </w:divBdr>
    </w:div>
    <w:div w:id="321275310">
      <w:bodyDiv w:val="1"/>
      <w:marLeft w:val="0"/>
      <w:marRight w:val="0"/>
      <w:marTop w:val="0"/>
      <w:marBottom w:val="0"/>
      <w:divBdr>
        <w:top w:val="none" w:sz="0" w:space="0" w:color="auto"/>
        <w:left w:val="none" w:sz="0" w:space="0" w:color="auto"/>
        <w:bottom w:val="none" w:sz="0" w:space="0" w:color="auto"/>
        <w:right w:val="none" w:sz="0" w:space="0" w:color="auto"/>
      </w:divBdr>
    </w:div>
    <w:div w:id="346257514">
      <w:bodyDiv w:val="1"/>
      <w:marLeft w:val="0"/>
      <w:marRight w:val="0"/>
      <w:marTop w:val="0"/>
      <w:marBottom w:val="0"/>
      <w:divBdr>
        <w:top w:val="none" w:sz="0" w:space="0" w:color="auto"/>
        <w:left w:val="none" w:sz="0" w:space="0" w:color="auto"/>
        <w:bottom w:val="none" w:sz="0" w:space="0" w:color="auto"/>
        <w:right w:val="none" w:sz="0" w:space="0" w:color="auto"/>
      </w:divBdr>
    </w:div>
    <w:div w:id="350692632">
      <w:bodyDiv w:val="1"/>
      <w:marLeft w:val="0"/>
      <w:marRight w:val="0"/>
      <w:marTop w:val="0"/>
      <w:marBottom w:val="0"/>
      <w:divBdr>
        <w:top w:val="none" w:sz="0" w:space="0" w:color="auto"/>
        <w:left w:val="none" w:sz="0" w:space="0" w:color="auto"/>
        <w:bottom w:val="none" w:sz="0" w:space="0" w:color="auto"/>
        <w:right w:val="none" w:sz="0" w:space="0" w:color="auto"/>
      </w:divBdr>
    </w:div>
    <w:div w:id="370152243">
      <w:bodyDiv w:val="1"/>
      <w:marLeft w:val="0"/>
      <w:marRight w:val="0"/>
      <w:marTop w:val="0"/>
      <w:marBottom w:val="0"/>
      <w:divBdr>
        <w:top w:val="none" w:sz="0" w:space="0" w:color="auto"/>
        <w:left w:val="none" w:sz="0" w:space="0" w:color="auto"/>
        <w:bottom w:val="none" w:sz="0" w:space="0" w:color="auto"/>
        <w:right w:val="none" w:sz="0" w:space="0" w:color="auto"/>
      </w:divBdr>
    </w:div>
    <w:div w:id="371419071">
      <w:bodyDiv w:val="1"/>
      <w:marLeft w:val="0"/>
      <w:marRight w:val="0"/>
      <w:marTop w:val="0"/>
      <w:marBottom w:val="0"/>
      <w:divBdr>
        <w:top w:val="none" w:sz="0" w:space="0" w:color="auto"/>
        <w:left w:val="none" w:sz="0" w:space="0" w:color="auto"/>
        <w:bottom w:val="none" w:sz="0" w:space="0" w:color="auto"/>
        <w:right w:val="none" w:sz="0" w:space="0" w:color="auto"/>
      </w:divBdr>
    </w:div>
    <w:div w:id="371732429">
      <w:bodyDiv w:val="1"/>
      <w:marLeft w:val="0"/>
      <w:marRight w:val="0"/>
      <w:marTop w:val="0"/>
      <w:marBottom w:val="0"/>
      <w:divBdr>
        <w:top w:val="none" w:sz="0" w:space="0" w:color="auto"/>
        <w:left w:val="none" w:sz="0" w:space="0" w:color="auto"/>
        <w:bottom w:val="none" w:sz="0" w:space="0" w:color="auto"/>
        <w:right w:val="none" w:sz="0" w:space="0" w:color="auto"/>
      </w:divBdr>
    </w:div>
    <w:div w:id="376005220">
      <w:bodyDiv w:val="1"/>
      <w:marLeft w:val="0"/>
      <w:marRight w:val="0"/>
      <w:marTop w:val="0"/>
      <w:marBottom w:val="0"/>
      <w:divBdr>
        <w:top w:val="none" w:sz="0" w:space="0" w:color="auto"/>
        <w:left w:val="none" w:sz="0" w:space="0" w:color="auto"/>
        <w:bottom w:val="none" w:sz="0" w:space="0" w:color="auto"/>
        <w:right w:val="none" w:sz="0" w:space="0" w:color="auto"/>
      </w:divBdr>
    </w:div>
    <w:div w:id="387730144">
      <w:bodyDiv w:val="1"/>
      <w:marLeft w:val="0"/>
      <w:marRight w:val="0"/>
      <w:marTop w:val="0"/>
      <w:marBottom w:val="0"/>
      <w:divBdr>
        <w:top w:val="none" w:sz="0" w:space="0" w:color="auto"/>
        <w:left w:val="none" w:sz="0" w:space="0" w:color="auto"/>
        <w:bottom w:val="none" w:sz="0" w:space="0" w:color="auto"/>
        <w:right w:val="none" w:sz="0" w:space="0" w:color="auto"/>
      </w:divBdr>
    </w:div>
    <w:div w:id="439765062">
      <w:bodyDiv w:val="1"/>
      <w:marLeft w:val="0"/>
      <w:marRight w:val="0"/>
      <w:marTop w:val="0"/>
      <w:marBottom w:val="0"/>
      <w:divBdr>
        <w:top w:val="none" w:sz="0" w:space="0" w:color="auto"/>
        <w:left w:val="none" w:sz="0" w:space="0" w:color="auto"/>
        <w:bottom w:val="none" w:sz="0" w:space="0" w:color="auto"/>
        <w:right w:val="none" w:sz="0" w:space="0" w:color="auto"/>
      </w:divBdr>
    </w:div>
    <w:div w:id="442770863">
      <w:bodyDiv w:val="1"/>
      <w:marLeft w:val="0"/>
      <w:marRight w:val="0"/>
      <w:marTop w:val="0"/>
      <w:marBottom w:val="0"/>
      <w:divBdr>
        <w:top w:val="none" w:sz="0" w:space="0" w:color="auto"/>
        <w:left w:val="none" w:sz="0" w:space="0" w:color="auto"/>
        <w:bottom w:val="none" w:sz="0" w:space="0" w:color="auto"/>
        <w:right w:val="none" w:sz="0" w:space="0" w:color="auto"/>
      </w:divBdr>
    </w:div>
    <w:div w:id="457144647">
      <w:bodyDiv w:val="1"/>
      <w:marLeft w:val="0"/>
      <w:marRight w:val="0"/>
      <w:marTop w:val="0"/>
      <w:marBottom w:val="0"/>
      <w:divBdr>
        <w:top w:val="none" w:sz="0" w:space="0" w:color="auto"/>
        <w:left w:val="none" w:sz="0" w:space="0" w:color="auto"/>
        <w:bottom w:val="none" w:sz="0" w:space="0" w:color="auto"/>
        <w:right w:val="none" w:sz="0" w:space="0" w:color="auto"/>
      </w:divBdr>
    </w:div>
    <w:div w:id="466512955">
      <w:bodyDiv w:val="1"/>
      <w:marLeft w:val="0"/>
      <w:marRight w:val="0"/>
      <w:marTop w:val="0"/>
      <w:marBottom w:val="0"/>
      <w:divBdr>
        <w:top w:val="none" w:sz="0" w:space="0" w:color="auto"/>
        <w:left w:val="none" w:sz="0" w:space="0" w:color="auto"/>
        <w:bottom w:val="none" w:sz="0" w:space="0" w:color="auto"/>
        <w:right w:val="none" w:sz="0" w:space="0" w:color="auto"/>
      </w:divBdr>
    </w:div>
    <w:div w:id="470948551">
      <w:bodyDiv w:val="1"/>
      <w:marLeft w:val="0"/>
      <w:marRight w:val="0"/>
      <w:marTop w:val="0"/>
      <w:marBottom w:val="0"/>
      <w:divBdr>
        <w:top w:val="none" w:sz="0" w:space="0" w:color="auto"/>
        <w:left w:val="none" w:sz="0" w:space="0" w:color="auto"/>
        <w:bottom w:val="none" w:sz="0" w:space="0" w:color="auto"/>
        <w:right w:val="none" w:sz="0" w:space="0" w:color="auto"/>
      </w:divBdr>
    </w:div>
    <w:div w:id="474614961">
      <w:bodyDiv w:val="1"/>
      <w:marLeft w:val="0"/>
      <w:marRight w:val="0"/>
      <w:marTop w:val="0"/>
      <w:marBottom w:val="0"/>
      <w:divBdr>
        <w:top w:val="none" w:sz="0" w:space="0" w:color="auto"/>
        <w:left w:val="none" w:sz="0" w:space="0" w:color="auto"/>
        <w:bottom w:val="none" w:sz="0" w:space="0" w:color="auto"/>
        <w:right w:val="none" w:sz="0" w:space="0" w:color="auto"/>
      </w:divBdr>
    </w:div>
    <w:div w:id="488715429">
      <w:bodyDiv w:val="1"/>
      <w:marLeft w:val="0"/>
      <w:marRight w:val="0"/>
      <w:marTop w:val="0"/>
      <w:marBottom w:val="0"/>
      <w:divBdr>
        <w:top w:val="none" w:sz="0" w:space="0" w:color="auto"/>
        <w:left w:val="none" w:sz="0" w:space="0" w:color="auto"/>
        <w:bottom w:val="none" w:sz="0" w:space="0" w:color="auto"/>
        <w:right w:val="none" w:sz="0" w:space="0" w:color="auto"/>
      </w:divBdr>
    </w:div>
    <w:div w:id="493305183">
      <w:bodyDiv w:val="1"/>
      <w:marLeft w:val="0"/>
      <w:marRight w:val="0"/>
      <w:marTop w:val="0"/>
      <w:marBottom w:val="0"/>
      <w:divBdr>
        <w:top w:val="none" w:sz="0" w:space="0" w:color="auto"/>
        <w:left w:val="none" w:sz="0" w:space="0" w:color="auto"/>
        <w:bottom w:val="none" w:sz="0" w:space="0" w:color="auto"/>
        <w:right w:val="none" w:sz="0" w:space="0" w:color="auto"/>
      </w:divBdr>
    </w:div>
    <w:div w:id="496195562">
      <w:bodyDiv w:val="1"/>
      <w:marLeft w:val="0"/>
      <w:marRight w:val="0"/>
      <w:marTop w:val="0"/>
      <w:marBottom w:val="0"/>
      <w:divBdr>
        <w:top w:val="none" w:sz="0" w:space="0" w:color="auto"/>
        <w:left w:val="none" w:sz="0" w:space="0" w:color="auto"/>
        <w:bottom w:val="none" w:sz="0" w:space="0" w:color="auto"/>
        <w:right w:val="none" w:sz="0" w:space="0" w:color="auto"/>
      </w:divBdr>
    </w:div>
    <w:div w:id="529535279">
      <w:bodyDiv w:val="1"/>
      <w:marLeft w:val="0"/>
      <w:marRight w:val="0"/>
      <w:marTop w:val="0"/>
      <w:marBottom w:val="0"/>
      <w:divBdr>
        <w:top w:val="none" w:sz="0" w:space="0" w:color="auto"/>
        <w:left w:val="none" w:sz="0" w:space="0" w:color="auto"/>
        <w:bottom w:val="none" w:sz="0" w:space="0" w:color="auto"/>
        <w:right w:val="none" w:sz="0" w:space="0" w:color="auto"/>
      </w:divBdr>
      <w:divsChild>
        <w:div w:id="61292210">
          <w:marLeft w:val="0"/>
          <w:marRight w:val="0"/>
          <w:marTop w:val="0"/>
          <w:marBottom w:val="0"/>
          <w:divBdr>
            <w:top w:val="none" w:sz="0" w:space="0" w:color="auto"/>
            <w:left w:val="none" w:sz="0" w:space="0" w:color="auto"/>
            <w:bottom w:val="none" w:sz="0" w:space="0" w:color="auto"/>
            <w:right w:val="none" w:sz="0" w:space="0" w:color="auto"/>
          </w:divBdr>
        </w:div>
        <w:div w:id="1103762808">
          <w:marLeft w:val="0"/>
          <w:marRight w:val="0"/>
          <w:marTop w:val="0"/>
          <w:marBottom w:val="0"/>
          <w:divBdr>
            <w:top w:val="none" w:sz="0" w:space="0" w:color="auto"/>
            <w:left w:val="none" w:sz="0" w:space="0" w:color="auto"/>
            <w:bottom w:val="none" w:sz="0" w:space="0" w:color="auto"/>
            <w:right w:val="none" w:sz="0" w:space="0" w:color="auto"/>
          </w:divBdr>
        </w:div>
        <w:div w:id="850025734">
          <w:marLeft w:val="0"/>
          <w:marRight w:val="0"/>
          <w:marTop w:val="0"/>
          <w:marBottom w:val="0"/>
          <w:divBdr>
            <w:top w:val="none" w:sz="0" w:space="0" w:color="auto"/>
            <w:left w:val="none" w:sz="0" w:space="0" w:color="auto"/>
            <w:bottom w:val="none" w:sz="0" w:space="0" w:color="auto"/>
            <w:right w:val="none" w:sz="0" w:space="0" w:color="auto"/>
          </w:divBdr>
        </w:div>
        <w:div w:id="1581595177">
          <w:marLeft w:val="0"/>
          <w:marRight w:val="0"/>
          <w:marTop w:val="0"/>
          <w:marBottom w:val="0"/>
          <w:divBdr>
            <w:top w:val="none" w:sz="0" w:space="0" w:color="auto"/>
            <w:left w:val="none" w:sz="0" w:space="0" w:color="auto"/>
            <w:bottom w:val="none" w:sz="0" w:space="0" w:color="auto"/>
            <w:right w:val="none" w:sz="0" w:space="0" w:color="auto"/>
          </w:divBdr>
        </w:div>
        <w:div w:id="1439327130">
          <w:marLeft w:val="0"/>
          <w:marRight w:val="0"/>
          <w:marTop w:val="0"/>
          <w:marBottom w:val="0"/>
          <w:divBdr>
            <w:top w:val="none" w:sz="0" w:space="0" w:color="auto"/>
            <w:left w:val="none" w:sz="0" w:space="0" w:color="auto"/>
            <w:bottom w:val="none" w:sz="0" w:space="0" w:color="auto"/>
            <w:right w:val="none" w:sz="0" w:space="0" w:color="auto"/>
          </w:divBdr>
        </w:div>
        <w:div w:id="522403564">
          <w:marLeft w:val="0"/>
          <w:marRight w:val="0"/>
          <w:marTop w:val="0"/>
          <w:marBottom w:val="0"/>
          <w:divBdr>
            <w:top w:val="none" w:sz="0" w:space="0" w:color="auto"/>
            <w:left w:val="none" w:sz="0" w:space="0" w:color="auto"/>
            <w:bottom w:val="none" w:sz="0" w:space="0" w:color="auto"/>
            <w:right w:val="none" w:sz="0" w:space="0" w:color="auto"/>
          </w:divBdr>
        </w:div>
        <w:div w:id="1997613430">
          <w:marLeft w:val="0"/>
          <w:marRight w:val="0"/>
          <w:marTop w:val="0"/>
          <w:marBottom w:val="0"/>
          <w:divBdr>
            <w:top w:val="none" w:sz="0" w:space="0" w:color="auto"/>
            <w:left w:val="none" w:sz="0" w:space="0" w:color="auto"/>
            <w:bottom w:val="none" w:sz="0" w:space="0" w:color="auto"/>
            <w:right w:val="none" w:sz="0" w:space="0" w:color="auto"/>
          </w:divBdr>
        </w:div>
      </w:divsChild>
    </w:div>
    <w:div w:id="539586380">
      <w:bodyDiv w:val="1"/>
      <w:marLeft w:val="0"/>
      <w:marRight w:val="0"/>
      <w:marTop w:val="0"/>
      <w:marBottom w:val="0"/>
      <w:divBdr>
        <w:top w:val="none" w:sz="0" w:space="0" w:color="auto"/>
        <w:left w:val="none" w:sz="0" w:space="0" w:color="auto"/>
        <w:bottom w:val="none" w:sz="0" w:space="0" w:color="auto"/>
        <w:right w:val="none" w:sz="0" w:space="0" w:color="auto"/>
      </w:divBdr>
    </w:div>
    <w:div w:id="539827095">
      <w:bodyDiv w:val="1"/>
      <w:marLeft w:val="0"/>
      <w:marRight w:val="0"/>
      <w:marTop w:val="0"/>
      <w:marBottom w:val="0"/>
      <w:divBdr>
        <w:top w:val="none" w:sz="0" w:space="0" w:color="auto"/>
        <w:left w:val="none" w:sz="0" w:space="0" w:color="auto"/>
        <w:bottom w:val="none" w:sz="0" w:space="0" w:color="auto"/>
        <w:right w:val="none" w:sz="0" w:space="0" w:color="auto"/>
      </w:divBdr>
    </w:div>
    <w:div w:id="639312467">
      <w:bodyDiv w:val="1"/>
      <w:marLeft w:val="0"/>
      <w:marRight w:val="0"/>
      <w:marTop w:val="0"/>
      <w:marBottom w:val="0"/>
      <w:divBdr>
        <w:top w:val="none" w:sz="0" w:space="0" w:color="auto"/>
        <w:left w:val="none" w:sz="0" w:space="0" w:color="auto"/>
        <w:bottom w:val="none" w:sz="0" w:space="0" w:color="auto"/>
        <w:right w:val="none" w:sz="0" w:space="0" w:color="auto"/>
      </w:divBdr>
    </w:div>
    <w:div w:id="641622773">
      <w:bodyDiv w:val="1"/>
      <w:marLeft w:val="0"/>
      <w:marRight w:val="0"/>
      <w:marTop w:val="0"/>
      <w:marBottom w:val="0"/>
      <w:divBdr>
        <w:top w:val="none" w:sz="0" w:space="0" w:color="auto"/>
        <w:left w:val="none" w:sz="0" w:space="0" w:color="auto"/>
        <w:bottom w:val="none" w:sz="0" w:space="0" w:color="auto"/>
        <w:right w:val="none" w:sz="0" w:space="0" w:color="auto"/>
      </w:divBdr>
    </w:div>
    <w:div w:id="658079553">
      <w:bodyDiv w:val="1"/>
      <w:marLeft w:val="0"/>
      <w:marRight w:val="0"/>
      <w:marTop w:val="0"/>
      <w:marBottom w:val="0"/>
      <w:divBdr>
        <w:top w:val="none" w:sz="0" w:space="0" w:color="auto"/>
        <w:left w:val="none" w:sz="0" w:space="0" w:color="auto"/>
        <w:bottom w:val="none" w:sz="0" w:space="0" w:color="auto"/>
        <w:right w:val="none" w:sz="0" w:space="0" w:color="auto"/>
      </w:divBdr>
      <w:divsChild>
        <w:div w:id="691299290">
          <w:marLeft w:val="0"/>
          <w:marRight w:val="0"/>
          <w:marTop w:val="0"/>
          <w:marBottom w:val="0"/>
          <w:divBdr>
            <w:top w:val="none" w:sz="0" w:space="0" w:color="auto"/>
            <w:left w:val="none" w:sz="0" w:space="0" w:color="auto"/>
            <w:bottom w:val="none" w:sz="0" w:space="0" w:color="auto"/>
            <w:right w:val="none" w:sz="0" w:space="0" w:color="auto"/>
          </w:divBdr>
        </w:div>
        <w:div w:id="1455170510">
          <w:marLeft w:val="0"/>
          <w:marRight w:val="0"/>
          <w:marTop w:val="0"/>
          <w:marBottom w:val="0"/>
          <w:divBdr>
            <w:top w:val="none" w:sz="0" w:space="0" w:color="auto"/>
            <w:left w:val="none" w:sz="0" w:space="0" w:color="auto"/>
            <w:bottom w:val="none" w:sz="0" w:space="0" w:color="auto"/>
            <w:right w:val="none" w:sz="0" w:space="0" w:color="auto"/>
          </w:divBdr>
        </w:div>
      </w:divsChild>
    </w:div>
    <w:div w:id="671834736">
      <w:bodyDiv w:val="1"/>
      <w:marLeft w:val="0"/>
      <w:marRight w:val="0"/>
      <w:marTop w:val="0"/>
      <w:marBottom w:val="0"/>
      <w:divBdr>
        <w:top w:val="none" w:sz="0" w:space="0" w:color="auto"/>
        <w:left w:val="none" w:sz="0" w:space="0" w:color="auto"/>
        <w:bottom w:val="none" w:sz="0" w:space="0" w:color="auto"/>
        <w:right w:val="none" w:sz="0" w:space="0" w:color="auto"/>
      </w:divBdr>
    </w:div>
    <w:div w:id="757169960">
      <w:bodyDiv w:val="1"/>
      <w:marLeft w:val="0"/>
      <w:marRight w:val="0"/>
      <w:marTop w:val="0"/>
      <w:marBottom w:val="0"/>
      <w:divBdr>
        <w:top w:val="none" w:sz="0" w:space="0" w:color="auto"/>
        <w:left w:val="none" w:sz="0" w:space="0" w:color="auto"/>
        <w:bottom w:val="none" w:sz="0" w:space="0" w:color="auto"/>
        <w:right w:val="none" w:sz="0" w:space="0" w:color="auto"/>
      </w:divBdr>
    </w:div>
    <w:div w:id="757216171">
      <w:bodyDiv w:val="1"/>
      <w:marLeft w:val="0"/>
      <w:marRight w:val="0"/>
      <w:marTop w:val="0"/>
      <w:marBottom w:val="0"/>
      <w:divBdr>
        <w:top w:val="none" w:sz="0" w:space="0" w:color="auto"/>
        <w:left w:val="none" w:sz="0" w:space="0" w:color="auto"/>
        <w:bottom w:val="none" w:sz="0" w:space="0" w:color="auto"/>
        <w:right w:val="none" w:sz="0" w:space="0" w:color="auto"/>
      </w:divBdr>
    </w:div>
    <w:div w:id="766734208">
      <w:bodyDiv w:val="1"/>
      <w:marLeft w:val="0"/>
      <w:marRight w:val="0"/>
      <w:marTop w:val="0"/>
      <w:marBottom w:val="0"/>
      <w:divBdr>
        <w:top w:val="none" w:sz="0" w:space="0" w:color="auto"/>
        <w:left w:val="none" w:sz="0" w:space="0" w:color="auto"/>
        <w:bottom w:val="none" w:sz="0" w:space="0" w:color="auto"/>
        <w:right w:val="none" w:sz="0" w:space="0" w:color="auto"/>
      </w:divBdr>
    </w:div>
    <w:div w:id="767967657">
      <w:bodyDiv w:val="1"/>
      <w:marLeft w:val="0"/>
      <w:marRight w:val="0"/>
      <w:marTop w:val="0"/>
      <w:marBottom w:val="0"/>
      <w:divBdr>
        <w:top w:val="none" w:sz="0" w:space="0" w:color="auto"/>
        <w:left w:val="none" w:sz="0" w:space="0" w:color="auto"/>
        <w:bottom w:val="none" w:sz="0" w:space="0" w:color="auto"/>
        <w:right w:val="none" w:sz="0" w:space="0" w:color="auto"/>
      </w:divBdr>
    </w:div>
    <w:div w:id="802891932">
      <w:bodyDiv w:val="1"/>
      <w:marLeft w:val="0"/>
      <w:marRight w:val="0"/>
      <w:marTop w:val="0"/>
      <w:marBottom w:val="0"/>
      <w:divBdr>
        <w:top w:val="none" w:sz="0" w:space="0" w:color="auto"/>
        <w:left w:val="none" w:sz="0" w:space="0" w:color="auto"/>
        <w:bottom w:val="none" w:sz="0" w:space="0" w:color="auto"/>
        <w:right w:val="none" w:sz="0" w:space="0" w:color="auto"/>
      </w:divBdr>
    </w:div>
    <w:div w:id="809253289">
      <w:bodyDiv w:val="1"/>
      <w:marLeft w:val="0"/>
      <w:marRight w:val="0"/>
      <w:marTop w:val="0"/>
      <w:marBottom w:val="0"/>
      <w:divBdr>
        <w:top w:val="none" w:sz="0" w:space="0" w:color="auto"/>
        <w:left w:val="none" w:sz="0" w:space="0" w:color="auto"/>
        <w:bottom w:val="none" w:sz="0" w:space="0" w:color="auto"/>
        <w:right w:val="none" w:sz="0" w:space="0" w:color="auto"/>
      </w:divBdr>
    </w:div>
    <w:div w:id="815150377">
      <w:bodyDiv w:val="1"/>
      <w:marLeft w:val="0"/>
      <w:marRight w:val="0"/>
      <w:marTop w:val="0"/>
      <w:marBottom w:val="0"/>
      <w:divBdr>
        <w:top w:val="none" w:sz="0" w:space="0" w:color="auto"/>
        <w:left w:val="none" w:sz="0" w:space="0" w:color="auto"/>
        <w:bottom w:val="none" w:sz="0" w:space="0" w:color="auto"/>
        <w:right w:val="none" w:sz="0" w:space="0" w:color="auto"/>
      </w:divBdr>
    </w:div>
    <w:div w:id="858734861">
      <w:bodyDiv w:val="1"/>
      <w:marLeft w:val="0"/>
      <w:marRight w:val="0"/>
      <w:marTop w:val="0"/>
      <w:marBottom w:val="0"/>
      <w:divBdr>
        <w:top w:val="none" w:sz="0" w:space="0" w:color="auto"/>
        <w:left w:val="none" w:sz="0" w:space="0" w:color="auto"/>
        <w:bottom w:val="none" w:sz="0" w:space="0" w:color="auto"/>
        <w:right w:val="none" w:sz="0" w:space="0" w:color="auto"/>
      </w:divBdr>
    </w:div>
    <w:div w:id="863057157">
      <w:bodyDiv w:val="1"/>
      <w:marLeft w:val="0"/>
      <w:marRight w:val="0"/>
      <w:marTop w:val="0"/>
      <w:marBottom w:val="0"/>
      <w:divBdr>
        <w:top w:val="none" w:sz="0" w:space="0" w:color="auto"/>
        <w:left w:val="none" w:sz="0" w:space="0" w:color="auto"/>
        <w:bottom w:val="none" w:sz="0" w:space="0" w:color="auto"/>
        <w:right w:val="none" w:sz="0" w:space="0" w:color="auto"/>
      </w:divBdr>
    </w:div>
    <w:div w:id="879708715">
      <w:bodyDiv w:val="1"/>
      <w:marLeft w:val="0"/>
      <w:marRight w:val="0"/>
      <w:marTop w:val="0"/>
      <w:marBottom w:val="0"/>
      <w:divBdr>
        <w:top w:val="none" w:sz="0" w:space="0" w:color="auto"/>
        <w:left w:val="none" w:sz="0" w:space="0" w:color="auto"/>
        <w:bottom w:val="none" w:sz="0" w:space="0" w:color="auto"/>
        <w:right w:val="none" w:sz="0" w:space="0" w:color="auto"/>
      </w:divBdr>
    </w:div>
    <w:div w:id="887691892">
      <w:bodyDiv w:val="1"/>
      <w:marLeft w:val="0"/>
      <w:marRight w:val="0"/>
      <w:marTop w:val="0"/>
      <w:marBottom w:val="0"/>
      <w:divBdr>
        <w:top w:val="none" w:sz="0" w:space="0" w:color="auto"/>
        <w:left w:val="none" w:sz="0" w:space="0" w:color="auto"/>
        <w:bottom w:val="none" w:sz="0" w:space="0" w:color="auto"/>
        <w:right w:val="none" w:sz="0" w:space="0" w:color="auto"/>
      </w:divBdr>
    </w:div>
    <w:div w:id="894773883">
      <w:bodyDiv w:val="1"/>
      <w:marLeft w:val="0"/>
      <w:marRight w:val="0"/>
      <w:marTop w:val="0"/>
      <w:marBottom w:val="0"/>
      <w:divBdr>
        <w:top w:val="none" w:sz="0" w:space="0" w:color="auto"/>
        <w:left w:val="none" w:sz="0" w:space="0" w:color="auto"/>
        <w:bottom w:val="none" w:sz="0" w:space="0" w:color="auto"/>
        <w:right w:val="none" w:sz="0" w:space="0" w:color="auto"/>
      </w:divBdr>
    </w:div>
    <w:div w:id="910694688">
      <w:bodyDiv w:val="1"/>
      <w:marLeft w:val="0"/>
      <w:marRight w:val="0"/>
      <w:marTop w:val="0"/>
      <w:marBottom w:val="0"/>
      <w:divBdr>
        <w:top w:val="none" w:sz="0" w:space="0" w:color="auto"/>
        <w:left w:val="none" w:sz="0" w:space="0" w:color="auto"/>
        <w:bottom w:val="none" w:sz="0" w:space="0" w:color="auto"/>
        <w:right w:val="none" w:sz="0" w:space="0" w:color="auto"/>
      </w:divBdr>
    </w:div>
    <w:div w:id="951352920">
      <w:bodyDiv w:val="1"/>
      <w:marLeft w:val="0"/>
      <w:marRight w:val="0"/>
      <w:marTop w:val="0"/>
      <w:marBottom w:val="0"/>
      <w:divBdr>
        <w:top w:val="none" w:sz="0" w:space="0" w:color="auto"/>
        <w:left w:val="none" w:sz="0" w:space="0" w:color="auto"/>
        <w:bottom w:val="none" w:sz="0" w:space="0" w:color="auto"/>
        <w:right w:val="none" w:sz="0" w:space="0" w:color="auto"/>
      </w:divBdr>
    </w:div>
    <w:div w:id="974681141">
      <w:bodyDiv w:val="1"/>
      <w:marLeft w:val="0"/>
      <w:marRight w:val="0"/>
      <w:marTop w:val="0"/>
      <w:marBottom w:val="0"/>
      <w:divBdr>
        <w:top w:val="none" w:sz="0" w:space="0" w:color="auto"/>
        <w:left w:val="none" w:sz="0" w:space="0" w:color="auto"/>
        <w:bottom w:val="none" w:sz="0" w:space="0" w:color="auto"/>
        <w:right w:val="none" w:sz="0" w:space="0" w:color="auto"/>
      </w:divBdr>
    </w:div>
    <w:div w:id="982392473">
      <w:bodyDiv w:val="1"/>
      <w:marLeft w:val="0"/>
      <w:marRight w:val="0"/>
      <w:marTop w:val="0"/>
      <w:marBottom w:val="0"/>
      <w:divBdr>
        <w:top w:val="none" w:sz="0" w:space="0" w:color="auto"/>
        <w:left w:val="none" w:sz="0" w:space="0" w:color="auto"/>
        <w:bottom w:val="none" w:sz="0" w:space="0" w:color="auto"/>
        <w:right w:val="none" w:sz="0" w:space="0" w:color="auto"/>
      </w:divBdr>
    </w:div>
    <w:div w:id="986781409">
      <w:bodyDiv w:val="1"/>
      <w:marLeft w:val="0"/>
      <w:marRight w:val="0"/>
      <w:marTop w:val="0"/>
      <w:marBottom w:val="0"/>
      <w:divBdr>
        <w:top w:val="none" w:sz="0" w:space="0" w:color="auto"/>
        <w:left w:val="none" w:sz="0" w:space="0" w:color="auto"/>
        <w:bottom w:val="none" w:sz="0" w:space="0" w:color="auto"/>
        <w:right w:val="none" w:sz="0" w:space="0" w:color="auto"/>
      </w:divBdr>
    </w:div>
    <w:div w:id="1021859020">
      <w:bodyDiv w:val="1"/>
      <w:marLeft w:val="0"/>
      <w:marRight w:val="0"/>
      <w:marTop w:val="0"/>
      <w:marBottom w:val="0"/>
      <w:divBdr>
        <w:top w:val="none" w:sz="0" w:space="0" w:color="auto"/>
        <w:left w:val="none" w:sz="0" w:space="0" w:color="auto"/>
        <w:bottom w:val="none" w:sz="0" w:space="0" w:color="auto"/>
        <w:right w:val="none" w:sz="0" w:space="0" w:color="auto"/>
      </w:divBdr>
    </w:div>
    <w:div w:id="1033267556">
      <w:bodyDiv w:val="1"/>
      <w:marLeft w:val="0"/>
      <w:marRight w:val="0"/>
      <w:marTop w:val="0"/>
      <w:marBottom w:val="0"/>
      <w:divBdr>
        <w:top w:val="none" w:sz="0" w:space="0" w:color="auto"/>
        <w:left w:val="none" w:sz="0" w:space="0" w:color="auto"/>
        <w:bottom w:val="none" w:sz="0" w:space="0" w:color="auto"/>
        <w:right w:val="none" w:sz="0" w:space="0" w:color="auto"/>
      </w:divBdr>
    </w:div>
    <w:div w:id="1050812287">
      <w:bodyDiv w:val="1"/>
      <w:marLeft w:val="0"/>
      <w:marRight w:val="0"/>
      <w:marTop w:val="0"/>
      <w:marBottom w:val="0"/>
      <w:divBdr>
        <w:top w:val="none" w:sz="0" w:space="0" w:color="auto"/>
        <w:left w:val="none" w:sz="0" w:space="0" w:color="auto"/>
        <w:bottom w:val="none" w:sz="0" w:space="0" w:color="auto"/>
        <w:right w:val="none" w:sz="0" w:space="0" w:color="auto"/>
      </w:divBdr>
    </w:div>
    <w:div w:id="1072432679">
      <w:bodyDiv w:val="1"/>
      <w:marLeft w:val="0"/>
      <w:marRight w:val="0"/>
      <w:marTop w:val="0"/>
      <w:marBottom w:val="0"/>
      <w:divBdr>
        <w:top w:val="none" w:sz="0" w:space="0" w:color="auto"/>
        <w:left w:val="none" w:sz="0" w:space="0" w:color="auto"/>
        <w:bottom w:val="none" w:sz="0" w:space="0" w:color="auto"/>
        <w:right w:val="none" w:sz="0" w:space="0" w:color="auto"/>
      </w:divBdr>
    </w:div>
    <w:div w:id="1076518353">
      <w:bodyDiv w:val="1"/>
      <w:marLeft w:val="0"/>
      <w:marRight w:val="0"/>
      <w:marTop w:val="0"/>
      <w:marBottom w:val="0"/>
      <w:divBdr>
        <w:top w:val="none" w:sz="0" w:space="0" w:color="auto"/>
        <w:left w:val="none" w:sz="0" w:space="0" w:color="auto"/>
        <w:bottom w:val="none" w:sz="0" w:space="0" w:color="auto"/>
        <w:right w:val="none" w:sz="0" w:space="0" w:color="auto"/>
      </w:divBdr>
    </w:div>
    <w:div w:id="1134173215">
      <w:bodyDiv w:val="1"/>
      <w:marLeft w:val="0"/>
      <w:marRight w:val="0"/>
      <w:marTop w:val="0"/>
      <w:marBottom w:val="0"/>
      <w:divBdr>
        <w:top w:val="none" w:sz="0" w:space="0" w:color="auto"/>
        <w:left w:val="none" w:sz="0" w:space="0" w:color="auto"/>
        <w:bottom w:val="none" w:sz="0" w:space="0" w:color="auto"/>
        <w:right w:val="none" w:sz="0" w:space="0" w:color="auto"/>
      </w:divBdr>
    </w:div>
    <w:div w:id="1172989665">
      <w:bodyDiv w:val="1"/>
      <w:marLeft w:val="0"/>
      <w:marRight w:val="0"/>
      <w:marTop w:val="0"/>
      <w:marBottom w:val="0"/>
      <w:divBdr>
        <w:top w:val="none" w:sz="0" w:space="0" w:color="auto"/>
        <w:left w:val="none" w:sz="0" w:space="0" w:color="auto"/>
        <w:bottom w:val="none" w:sz="0" w:space="0" w:color="auto"/>
        <w:right w:val="none" w:sz="0" w:space="0" w:color="auto"/>
      </w:divBdr>
    </w:div>
    <w:div w:id="1185170361">
      <w:bodyDiv w:val="1"/>
      <w:marLeft w:val="0"/>
      <w:marRight w:val="0"/>
      <w:marTop w:val="0"/>
      <w:marBottom w:val="0"/>
      <w:divBdr>
        <w:top w:val="none" w:sz="0" w:space="0" w:color="auto"/>
        <w:left w:val="none" w:sz="0" w:space="0" w:color="auto"/>
        <w:bottom w:val="none" w:sz="0" w:space="0" w:color="auto"/>
        <w:right w:val="none" w:sz="0" w:space="0" w:color="auto"/>
      </w:divBdr>
    </w:div>
    <w:div w:id="1232934256">
      <w:bodyDiv w:val="1"/>
      <w:marLeft w:val="0"/>
      <w:marRight w:val="0"/>
      <w:marTop w:val="0"/>
      <w:marBottom w:val="0"/>
      <w:divBdr>
        <w:top w:val="none" w:sz="0" w:space="0" w:color="auto"/>
        <w:left w:val="none" w:sz="0" w:space="0" w:color="auto"/>
        <w:bottom w:val="none" w:sz="0" w:space="0" w:color="auto"/>
        <w:right w:val="none" w:sz="0" w:space="0" w:color="auto"/>
      </w:divBdr>
    </w:div>
    <w:div w:id="1246113706">
      <w:bodyDiv w:val="1"/>
      <w:marLeft w:val="0"/>
      <w:marRight w:val="0"/>
      <w:marTop w:val="0"/>
      <w:marBottom w:val="0"/>
      <w:divBdr>
        <w:top w:val="none" w:sz="0" w:space="0" w:color="auto"/>
        <w:left w:val="none" w:sz="0" w:space="0" w:color="auto"/>
        <w:bottom w:val="none" w:sz="0" w:space="0" w:color="auto"/>
        <w:right w:val="none" w:sz="0" w:space="0" w:color="auto"/>
      </w:divBdr>
    </w:div>
    <w:div w:id="1253129134">
      <w:bodyDiv w:val="1"/>
      <w:marLeft w:val="0"/>
      <w:marRight w:val="0"/>
      <w:marTop w:val="0"/>
      <w:marBottom w:val="0"/>
      <w:divBdr>
        <w:top w:val="none" w:sz="0" w:space="0" w:color="auto"/>
        <w:left w:val="none" w:sz="0" w:space="0" w:color="auto"/>
        <w:bottom w:val="none" w:sz="0" w:space="0" w:color="auto"/>
        <w:right w:val="none" w:sz="0" w:space="0" w:color="auto"/>
      </w:divBdr>
    </w:div>
    <w:div w:id="1267348268">
      <w:bodyDiv w:val="1"/>
      <w:marLeft w:val="0"/>
      <w:marRight w:val="0"/>
      <w:marTop w:val="0"/>
      <w:marBottom w:val="0"/>
      <w:divBdr>
        <w:top w:val="none" w:sz="0" w:space="0" w:color="auto"/>
        <w:left w:val="none" w:sz="0" w:space="0" w:color="auto"/>
        <w:bottom w:val="none" w:sz="0" w:space="0" w:color="auto"/>
        <w:right w:val="none" w:sz="0" w:space="0" w:color="auto"/>
      </w:divBdr>
    </w:div>
    <w:div w:id="1273823909">
      <w:bodyDiv w:val="1"/>
      <w:marLeft w:val="0"/>
      <w:marRight w:val="0"/>
      <w:marTop w:val="0"/>
      <w:marBottom w:val="0"/>
      <w:divBdr>
        <w:top w:val="none" w:sz="0" w:space="0" w:color="auto"/>
        <w:left w:val="none" w:sz="0" w:space="0" w:color="auto"/>
        <w:bottom w:val="none" w:sz="0" w:space="0" w:color="auto"/>
        <w:right w:val="none" w:sz="0" w:space="0" w:color="auto"/>
      </w:divBdr>
    </w:div>
    <w:div w:id="1275601888">
      <w:bodyDiv w:val="1"/>
      <w:marLeft w:val="0"/>
      <w:marRight w:val="0"/>
      <w:marTop w:val="0"/>
      <w:marBottom w:val="0"/>
      <w:divBdr>
        <w:top w:val="none" w:sz="0" w:space="0" w:color="auto"/>
        <w:left w:val="none" w:sz="0" w:space="0" w:color="auto"/>
        <w:bottom w:val="none" w:sz="0" w:space="0" w:color="auto"/>
        <w:right w:val="none" w:sz="0" w:space="0" w:color="auto"/>
      </w:divBdr>
    </w:div>
    <w:div w:id="1296907226">
      <w:bodyDiv w:val="1"/>
      <w:marLeft w:val="0"/>
      <w:marRight w:val="0"/>
      <w:marTop w:val="0"/>
      <w:marBottom w:val="0"/>
      <w:divBdr>
        <w:top w:val="none" w:sz="0" w:space="0" w:color="auto"/>
        <w:left w:val="none" w:sz="0" w:space="0" w:color="auto"/>
        <w:bottom w:val="none" w:sz="0" w:space="0" w:color="auto"/>
        <w:right w:val="none" w:sz="0" w:space="0" w:color="auto"/>
      </w:divBdr>
    </w:div>
    <w:div w:id="1309941091">
      <w:bodyDiv w:val="1"/>
      <w:marLeft w:val="0"/>
      <w:marRight w:val="0"/>
      <w:marTop w:val="0"/>
      <w:marBottom w:val="0"/>
      <w:divBdr>
        <w:top w:val="none" w:sz="0" w:space="0" w:color="auto"/>
        <w:left w:val="none" w:sz="0" w:space="0" w:color="auto"/>
        <w:bottom w:val="none" w:sz="0" w:space="0" w:color="auto"/>
        <w:right w:val="none" w:sz="0" w:space="0" w:color="auto"/>
      </w:divBdr>
    </w:div>
    <w:div w:id="1322464231">
      <w:bodyDiv w:val="1"/>
      <w:marLeft w:val="0"/>
      <w:marRight w:val="0"/>
      <w:marTop w:val="0"/>
      <w:marBottom w:val="0"/>
      <w:divBdr>
        <w:top w:val="none" w:sz="0" w:space="0" w:color="auto"/>
        <w:left w:val="none" w:sz="0" w:space="0" w:color="auto"/>
        <w:bottom w:val="none" w:sz="0" w:space="0" w:color="auto"/>
        <w:right w:val="none" w:sz="0" w:space="0" w:color="auto"/>
      </w:divBdr>
    </w:div>
    <w:div w:id="1322810867">
      <w:bodyDiv w:val="1"/>
      <w:marLeft w:val="0"/>
      <w:marRight w:val="0"/>
      <w:marTop w:val="0"/>
      <w:marBottom w:val="0"/>
      <w:divBdr>
        <w:top w:val="none" w:sz="0" w:space="0" w:color="auto"/>
        <w:left w:val="none" w:sz="0" w:space="0" w:color="auto"/>
        <w:bottom w:val="none" w:sz="0" w:space="0" w:color="auto"/>
        <w:right w:val="none" w:sz="0" w:space="0" w:color="auto"/>
      </w:divBdr>
    </w:div>
    <w:div w:id="1337726914">
      <w:bodyDiv w:val="1"/>
      <w:marLeft w:val="0"/>
      <w:marRight w:val="0"/>
      <w:marTop w:val="0"/>
      <w:marBottom w:val="0"/>
      <w:divBdr>
        <w:top w:val="none" w:sz="0" w:space="0" w:color="auto"/>
        <w:left w:val="none" w:sz="0" w:space="0" w:color="auto"/>
        <w:bottom w:val="none" w:sz="0" w:space="0" w:color="auto"/>
        <w:right w:val="none" w:sz="0" w:space="0" w:color="auto"/>
      </w:divBdr>
    </w:div>
    <w:div w:id="1346202308">
      <w:bodyDiv w:val="1"/>
      <w:marLeft w:val="0"/>
      <w:marRight w:val="0"/>
      <w:marTop w:val="0"/>
      <w:marBottom w:val="0"/>
      <w:divBdr>
        <w:top w:val="none" w:sz="0" w:space="0" w:color="auto"/>
        <w:left w:val="none" w:sz="0" w:space="0" w:color="auto"/>
        <w:bottom w:val="none" w:sz="0" w:space="0" w:color="auto"/>
        <w:right w:val="none" w:sz="0" w:space="0" w:color="auto"/>
      </w:divBdr>
    </w:div>
    <w:div w:id="1346517058">
      <w:bodyDiv w:val="1"/>
      <w:marLeft w:val="0"/>
      <w:marRight w:val="0"/>
      <w:marTop w:val="0"/>
      <w:marBottom w:val="0"/>
      <w:divBdr>
        <w:top w:val="none" w:sz="0" w:space="0" w:color="auto"/>
        <w:left w:val="none" w:sz="0" w:space="0" w:color="auto"/>
        <w:bottom w:val="none" w:sz="0" w:space="0" w:color="auto"/>
        <w:right w:val="none" w:sz="0" w:space="0" w:color="auto"/>
      </w:divBdr>
    </w:div>
    <w:div w:id="1368798395">
      <w:bodyDiv w:val="1"/>
      <w:marLeft w:val="0"/>
      <w:marRight w:val="0"/>
      <w:marTop w:val="0"/>
      <w:marBottom w:val="0"/>
      <w:divBdr>
        <w:top w:val="none" w:sz="0" w:space="0" w:color="auto"/>
        <w:left w:val="none" w:sz="0" w:space="0" w:color="auto"/>
        <w:bottom w:val="none" w:sz="0" w:space="0" w:color="auto"/>
        <w:right w:val="none" w:sz="0" w:space="0" w:color="auto"/>
      </w:divBdr>
    </w:div>
    <w:div w:id="1368801029">
      <w:bodyDiv w:val="1"/>
      <w:marLeft w:val="0"/>
      <w:marRight w:val="0"/>
      <w:marTop w:val="0"/>
      <w:marBottom w:val="0"/>
      <w:divBdr>
        <w:top w:val="none" w:sz="0" w:space="0" w:color="auto"/>
        <w:left w:val="none" w:sz="0" w:space="0" w:color="auto"/>
        <w:bottom w:val="none" w:sz="0" w:space="0" w:color="auto"/>
        <w:right w:val="none" w:sz="0" w:space="0" w:color="auto"/>
      </w:divBdr>
    </w:div>
    <w:div w:id="1385324681">
      <w:bodyDiv w:val="1"/>
      <w:marLeft w:val="0"/>
      <w:marRight w:val="0"/>
      <w:marTop w:val="0"/>
      <w:marBottom w:val="0"/>
      <w:divBdr>
        <w:top w:val="none" w:sz="0" w:space="0" w:color="auto"/>
        <w:left w:val="none" w:sz="0" w:space="0" w:color="auto"/>
        <w:bottom w:val="none" w:sz="0" w:space="0" w:color="auto"/>
        <w:right w:val="none" w:sz="0" w:space="0" w:color="auto"/>
      </w:divBdr>
    </w:div>
    <w:div w:id="1393433186">
      <w:bodyDiv w:val="1"/>
      <w:marLeft w:val="0"/>
      <w:marRight w:val="0"/>
      <w:marTop w:val="0"/>
      <w:marBottom w:val="0"/>
      <w:divBdr>
        <w:top w:val="none" w:sz="0" w:space="0" w:color="auto"/>
        <w:left w:val="none" w:sz="0" w:space="0" w:color="auto"/>
        <w:bottom w:val="none" w:sz="0" w:space="0" w:color="auto"/>
        <w:right w:val="none" w:sz="0" w:space="0" w:color="auto"/>
      </w:divBdr>
    </w:div>
    <w:div w:id="1417510778">
      <w:bodyDiv w:val="1"/>
      <w:marLeft w:val="0"/>
      <w:marRight w:val="0"/>
      <w:marTop w:val="0"/>
      <w:marBottom w:val="0"/>
      <w:divBdr>
        <w:top w:val="none" w:sz="0" w:space="0" w:color="auto"/>
        <w:left w:val="none" w:sz="0" w:space="0" w:color="auto"/>
        <w:bottom w:val="none" w:sz="0" w:space="0" w:color="auto"/>
        <w:right w:val="none" w:sz="0" w:space="0" w:color="auto"/>
      </w:divBdr>
    </w:div>
    <w:div w:id="1434478936">
      <w:bodyDiv w:val="1"/>
      <w:marLeft w:val="0"/>
      <w:marRight w:val="0"/>
      <w:marTop w:val="0"/>
      <w:marBottom w:val="0"/>
      <w:divBdr>
        <w:top w:val="none" w:sz="0" w:space="0" w:color="auto"/>
        <w:left w:val="none" w:sz="0" w:space="0" w:color="auto"/>
        <w:bottom w:val="none" w:sz="0" w:space="0" w:color="auto"/>
        <w:right w:val="none" w:sz="0" w:space="0" w:color="auto"/>
      </w:divBdr>
    </w:div>
    <w:div w:id="1451389371">
      <w:bodyDiv w:val="1"/>
      <w:marLeft w:val="0"/>
      <w:marRight w:val="0"/>
      <w:marTop w:val="0"/>
      <w:marBottom w:val="0"/>
      <w:divBdr>
        <w:top w:val="none" w:sz="0" w:space="0" w:color="auto"/>
        <w:left w:val="none" w:sz="0" w:space="0" w:color="auto"/>
        <w:bottom w:val="none" w:sz="0" w:space="0" w:color="auto"/>
        <w:right w:val="none" w:sz="0" w:space="0" w:color="auto"/>
      </w:divBdr>
    </w:div>
    <w:div w:id="1477838645">
      <w:bodyDiv w:val="1"/>
      <w:marLeft w:val="0"/>
      <w:marRight w:val="0"/>
      <w:marTop w:val="0"/>
      <w:marBottom w:val="0"/>
      <w:divBdr>
        <w:top w:val="none" w:sz="0" w:space="0" w:color="auto"/>
        <w:left w:val="none" w:sz="0" w:space="0" w:color="auto"/>
        <w:bottom w:val="none" w:sz="0" w:space="0" w:color="auto"/>
        <w:right w:val="none" w:sz="0" w:space="0" w:color="auto"/>
      </w:divBdr>
    </w:div>
    <w:div w:id="1478645656">
      <w:bodyDiv w:val="1"/>
      <w:marLeft w:val="0"/>
      <w:marRight w:val="0"/>
      <w:marTop w:val="0"/>
      <w:marBottom w:val="0"/>
      <w:divBdr>
        <w:top w:val="none" w:sz="0" w:space="0" w:color="auto"/>
        <w:left w:val="none" w:sz="0" w:space="0" w:color="auto"/>
        <w:bottom w:val="none" w:sz="0" w:space="0" w:color="auto"/>
        <w:right w:val="none" w:sz="0" w:space="0" w:color="auto"/>
      </w:divBdr>
    </w:div>
    <w:div w:id="1486046929">
      <w:bodyDiv w:val="1"/>
      <w:marLeft w:val="0"/>
      <w:marRight w:val="0"/>
      <w:marTop w:val="0"/>
      <w:marBottom w:val="0"/>
      <w:divBdr>
        <w:top w:val="none" w:sz="0" w:space="0" w:color="auto"/>
        <w:left w:val="none" w:sz="0" w:space="0" w:color="auto"/>
        <w:bottom w:val="none" w:sz="0" w:space="0" w:color="auto"/>
        <w:right w:val="none" w:sz="0" w:space="0" w:color="auto"/>
      </w:divBdr>
    </w:div>
    <w:div w:id="1498380032">
      <w:bodyDiv w:val="1"/>
      <w:marLeft w:val="0"/>
      <w:marRight w:val="0"/>
      <w:marTop w:val="0"/>
      <w:marBottom w:val="0"/>
      <w:divBdr>
        <w:top w:val="none" w:sz="0" w:space="0" w:color="auto"/>
        <w:left w:val="none" w:sz="0" w:space="0" w:color="auto"/>
        <w:bottom w:val="none" w:sz="0" w:space="0" w:color="auto"/>
        <w:right w:val="none" w:sz="0" w:space="0" w:color="auto"/>
      </w:divBdr>
    </w:div>
    <w:div w:id="1503466932">
      <w:bodyDiv w:val="1"/>
      <w:marLeft w:val="0"/>
      <w:marRight w:val="0"/>
      <w:marTop w:val="0"/>
      <w:marBottom w:val="0"/>
      <w:divBdr>
        <w:top w:val="none" w:sz="0" w:space="0" w:color="auto"/>
        <w:left w:val="none" w:sz="0" w:space="0" w:color="auto"/>
        <w:bottom w:val="none" w:sz="0" w:space="0" w:color="auto"/>
        <w:right w:val="none" w:sz="0" w:space="0" w:color="auto"/>
      </w:divBdr>
    </w:div>
    <w:div w:id="1503593702">
      <w:bodyDiv w:val="1"/>
      <w:marLeft w:val="0"/>
      <w:marRight w:val="0"/>
      <w:marTop w:val="0"/>
      <w:marBottom w:val="0"/>
      <w:divBdr>
        <w:top w:val="none" w:sz="0" w:space="0" w:color="auto"/>
        <w:left w:val="none" w:sz="0" w:space="0" w:color="auto"/>
        <w:bottom w:val="none" w:sz="0" w:space="0" w:color="auto"/>
        <w:right w:val="none" w:sz="0" w:space="0" w:color="auto"/>
      </w:divBdr>
    </w:div>
    <w:div w:id="1509439042">
      <w:bodyDiv w:val="1"/>
      <w:marLeft w:val="0"/>
      <w:marRight w:val="0"/>
      <w:marTop w:val="0"/>
      <w:marBottom w:val="0"/>
      <w:divBdr>
        <w:top w:val="none" w:sz="0" w:space="0" w:color="auto"/>
        <w:left w:val="none" w:sz="0" w:space="0" w:color="auto"/>
        <w:bottom w:val="none" w:sz="0" w:space="0" w:color="auto"/>
        <w:right w:val="none" w:sz="0" w:space="0" w:color="auto"/>
      </w:divBdr>
    </w:div>
    <w:div w:id="1531067897">
      <w:bodyDiv w:val="1"/>
      <w:marLeft w:val="0"/>
      <w:marRight w:val="0"/>
      <w:marTop w:val="0"/>
      <w:marBottom w:val="0"/>
      <w:divBdr>
        <w:top w:val="none" w:sz="0" w:space="0" w:color="auto"/>
        <w:left w:val="none" w:sz="0" w:space="0" w:color="auto"/>
        <w:bottom w:val="none" w:sz="0" w:space="0" w:color="auto"/>
        <w:right w:val="none" w:sz="0" w:space="0" w:color="auto"/>
      </w:divBdr>
    </w:div>
    <w:div w:id="1531794901">
      <w:bodyDiv w:val="1"/>
      <w:marLeft w:val="0"/>
      <w:marRight w:val="0"/>
      <w:marTop w:val="0"/>
      <w:marBottom w:val="0"/>
      <w:divBdr>
        <w:top w:val="none" w:sz="0" w:space="0" w:color="auto"/>
        <w:left w:val="none" w:sz="0" w:space="0" w:color="auto"/>
        <w:bottom w:val="none" w:sz="0" w:space="0" w:color="auto"/>
        <w:right w:val="none" w:sz="0" w:space="0" w:color="auto"/>
      </w:divBdr>
    </w:div>
    <w:div w:id="1548489406">
      <w:bodyDiv w:val="1"/>
      <w:marLeft w:val="0"/>
      <w:marRight w:val="0"/>
      <w:marTop w:val="0"/>
      <w:marBottom w:val="0"/>
      <w:divBdr>
        <w:top w:val="none" w:sz="0" w:space="0" w:color="auto"/>
        <w:left w:val="none" w:sz="0" w:space="0" w:color="auto"/>
        <w:bottom w:val="none" w:sz="0" w:space="0" w:color="auto"/>
        <w:right w:val="none" w:sz="0" w:space="0" w:color="auto"/>
      </w:divBdr>
    </w:div>
    <w:div w:id="1560895378">
      <w:bodyDiv w:val="1"/>
      <w:marLeft w:val="0"/>
      <w:marRight w:val="0"/>
      <w:marTop w:val="0"/>
      <w:marBottom w:val="0"/>
      <w:divBdr>
        <w:top w:val="none" w:sz="0" w:space="0" w:color="auto"/>
        <w:left w:val="none" w:sz="0" w:space="0" w:color="auto"/>
        <w:bottom w:val="none" w:sz="0" w:space="0" w:color="auto"/>
        <w:right w:val="none" w:sz="0" w:space="0" w:color="auto"/>
      </w:divBdr>
    </w:div>
    <w:div w:id="1568498004">
      <w:bodyDiv w:val="1"/>
      <w:marLeft w:val="0"/>
      <w:marRight w:val="0"/>
      <w:marTop w:val="0"/>
      <w:marBottom w:val="0"/>
      <w:divBdr>
        <w:top w:val="none" w:sz="0" w:space="0" w:color="auto"/>
        <w:left w:val="none" w:sz="0" w:space="0" w:color="auto"/>
        <w:bottom w:val="none" w:sz="0" w:space="0" w:color="auto"/>
        <w:right w:val="none" w:sz="0" w:space="0" w:color="auto"/>
      </w:divBdr>
    </w:div>
    <w:div w:id="1607537235">
      <w:bodyDiv w:val="1"/>
      <w:marLeft w:val="0"/>
      <w:marRight w:val="0"/>
      <w:marTop w:val="0"/>
      <w:marBottom w:val="0"/>
      <w:divBdr>
        <w:top w:val="none" w:sz="0" w:space="0" w:color="auto"/>
        <w:left w:val="none" w:sz="0" w:space="0" w:color="auto"/>
        <w:bottom w:val="none" w:sz="0" w:space="0" w:color="auto"/>
        <w:right w:val="none" w:sz="0" w:space="0" w:color="auto"/>
      </w:divBdr>
    </w:div>
    <w:div w:id="1610235701">
      <w:bodyDiv w:val="1"/>
      <w:marLeft w:val="0"/>
      <w:marRight w:val="0"/>
      <w:marTop w:val="0"/>
      <w:marBottom w:val="0"/>
      <w:divBdr>
        <w:top w:val="none" w:sz="0" w:space="0" w:color="auto"/>
        <w:left w:val="none" w:sz="0" w:space="0" w:color="auto"/>
        <w:bottom w:val="none" w:sz="0" w:space="0" w:color="auto"/>
        <w:right w:val="none" w:sz="0" w:space="0" w:color="auto"/>
      </w:divBdr>
    </w:div>
    <w:div w:id="1611082039">
      <w:bodyDiv w:val="1"/>
      <w:marLeft w:val="0"/>
      <w:marRight w:val="0"/>
      <w:marTop w:val="0"/>
      <w:marBottom w:val="0"/>
      <w:divBdr>
        <w:top w:val="none" w:sz="0" w:space="0" w:color="auto"/>
        <w:left w:val="none" w:sz="0" w:space="0" w:color="auto"/>
        <w:bottom w:val="none" w:sz="0" w:space="0" w:color="auto"/>
        <w:right w:val="none" w:sz="0" w:space="0" w:color="auto"/>
      </w:divBdr>
    </w:div>
    <w:div w:id="1663465943">
      <w:bodyDiv w:val="1"/>
      <w:marLeft w:val="0"/>
      <w:marRight w:val="0"/>
      <w:marTop w:val="0"/>
      <w:marBottom w:val="0"/>
      <w:divBdr>
        <w:top w:val="none" w:sz="0" w:space="0" w:color="auto"/>
        <w:left w:val="none" w:sz="0" w:space="0" w:color="auto"/>
        <w:bottom w:val="none" w:sz="0" w:space="0" w:color="auto"/>
        <w:right w:val="none" w:sz="0" w:space="0" w:color="auto"/>
      </w:divBdr>
    </w:div>
    <w:div w:id="1681345655">
      <w:bodyDiv w:val="1"/>
      <w:marLeft w:val="0"/>
      <w:marRight w:val="0"/>
      <w:marTop w:val="0"/>
      <w:marBottom w:val="0"/>
      <w:divBdr>
        <w:top w:val="none" w:sz="0" w:space="0" w:color="auto"/>
        <w:left w:val="none" w:sz="0" w:space="0" w:color="auto"/>
        <w:bottom w:val="none" w:sz="0" w:space="0" w:color="auto"/>
        <w:right w:val="none" w:sz="0" w:space="0" w:color="auto"/>
      </w:divBdr>
    </w:div>
    <w:div w:id="1726098576">
      <w:bodyDiv w:val="1"/>
      <w:marLeft w:val="0"/>
      <w:marRight w:val="0"/>
      <w:marTop w:val="0"/>
      <w:marBottom w:val="0"/>
      <w:divBdr>
        <w:top w:val="none" w:sz="0" w:space="0" w:color="auto"/>
        <w:left w:val="none" w:sz="0" w:space="0" w:color="auto"/>
        <w:bottom w:val="none" w:sz="0" w:space="0" w:color="auto"/>
        <w:right w:val="none" w:sz="0" w:space="0" w:color="auto"/>
      </w:divBdr>
    </w:div>
    <w:div w:id="1732191095">
      <w:bodyDiv w:val="1"/>
      <w:marLeft w:val="0"/>
      <w:marRight w:val="0"/>
      <w:marTop w:val="0"/>
      <w:marBottom w:val="0"/>
      <w:divBdr>
        <w:top w:val="none" w:sz="0" w:space="0" w:color="auto"/>
        <w:left w:val="none" w:sz="0" w:space="0" w:color="auto"/>
        <w:bottom w:val="none" w:sz="0" w:space="0" w:color="auto"/>
        <w:right w:val="none" w:sz="0" w:space="0" w:color="auto"/>
      </w:divBdr>
    </w:div>
    <w:div w:id="1770270425">
      <w:bodyDiv w:val="1"/>
      <w:marLeft w:val="0"/>
      <w:marRight w:val="0"/>
      <w:marTop w:val="0"/>
      <w:marBottom w:val="0"/>
      <w:divBdr>
        <w:top w:val="none" w:sz="0" w:space="0" w:color="auto"/>
        <w:left w:val="none" w:sz="0" w:space="0" w:color="auto"/>
        <w:bottom w:val="none" w:sz="0" w:space="0" w:color="auto"/>
        <w:right w:val="none" w:sz="0" w:space="0" w:color="auto"/>
      </w:divBdr>
    </w:div>
    <w:div w:id="1777290429">
      <w:bodyDiv w:val="1"/>
      <w:marLeft w:val="0"/>
      <w:marRight w:val="0"/>
      <w:marTop w:val="0"/>
      <w:marBottom w:val="0"/>
      <w:divBdr>
        <w:top w:val="none" w:sz="0" w:space="0" w:color="auto"/>
        <w:left w:val="none" w:sz="0" w:space="0" w:color="auto"/>
        <w:bottom w:val="none" w:sz="0" w:space="0" w:color="auto"/>
        <w:right w:val="none" w:sz="0" w:space="0" w:color="auto"/>
      </w:divBdr>
    </w:div>
    <w:div w:id="1801681248">
      <w:bodyDiv w:val="1"/>
      <w:marLeft w:val="0"/>
      <w:marRight w:val="0"/>
      <w:marTop w:val="0"/>
      <w:marBottom w:val="0"/>
      <w:divBdr>
        <w:top w:val="none" w:sz="0" w:space="0" w:color="auto"/>
        <w:left w:val="none" w:sz="0" w:space="0" w:color="auto"/>
        <w:bottom w:val="none" w:sz="0" w:space="0" w:color="auto"/>
        <w:right w:val="none" w:sz="0" w:space="0" w:color="auto"/>
      </w:divBdr>
    </w:div>
    <w:div w:id="1828589762">
      <w:bodyDiv w:val="1"/>
      <w:marLeft w:val="0"/>
      <w:marRight w:val="0"/>
      <w:marTop w:val="0"/>
      <w:marBottom w:val="0"/>
      <w:divBdr>
        <w:top w:val="none" w:sz="0" w:space="0" w:color="auto"/>
        <w:left w:val="none" w:sz="0" w:space="0" w:color="auto"/>
        <w:bottom w:val="none" w:sz="0" w:space="0" w:color="auto"/>
        <w:right w:val="none" w:sz="0" w:space="0" w:color="auto"/>
      </w:divBdr>
    </w:div>
    <w:div w:id="1852988039">
      <w:bodyDiv w:val="1"/>
      <w:marLeft w:val="0"/>
      <w:marRight w:val="0"/>
      <w:marTop w:val="0"/>
      <w:marBottom w:val="0"/>
      <w:divBdr>
        <w:top w:val="none" w:sz="0" w:space="0" w:color="auto"/>
        <w:left w:val="none" w:sz="0" w:space="0" w:color="auto"/>
        <w:bottom w:val="none" w:sz="0" w:space="0" w:color="auto"/>
        <w:right w:val="none" w:sz="0" w:space="0" w:color="auto"/>
      </w:divBdr>
    </w:div>
    <w:div w:id="1865710404">
      <w:bodyDiv w:val="1"/>
      <w:marLeft w:val="0"/>
      <w:marRight w:val="0"/>
      <w:marTop w:val="0"/>
      <w:marBottom w:val="0"/>
      <w:divBdr>
        <w:top w:val="none" w:sz="0" w:space="0" w:color="auto"/>
        <w:left w:val="none" w:sz="0" w:space="0" w:color="auto"/>
        <w:bottom w:val="none" w:sz="0" w:space="0" w:color="auto"/>
        <w:right w:val="none" w:sz="0" w:space="0" w:color="auto"/>
      </w:divBdr>
    </w:div>
    <w:div w:id="1867014036">
      <w:bodyDiv w:val="1"/>
      <w:marLeft w:val="0"/>
      <w:marRight w:val="0"/>
      <w:marTop w:val="0"/>
      <w:marBottom w:val="0"/>
      <w:divBdr>
        <w:top w:val="none" w:sz="0" w:space="0" w:color="auto"/>
        <w:left w:val="none" w:sz="0" w:space="0" w:color="auto"/>
        <w:bottom w:val="none" w:sz="0" w:space="0" w:color="auto"/>
        <w:right w:val="none" w:sz="0" w:space="0" w:color="auto"/>
      </w:divBdr>
    </w:div>
    <w:div w:id="1903787768">
      <w:bodyDiv w:val="1"/>
      <w:marLeft w:val="0"/>
      <w:marRight w:val="0"/>
      <w:marTop w:val="0"/>
      <w:marBottom w:val="0"/>
      <w:divBdr>
        <w:top w:val="none" w:sz="0" w:space="0" w:color="auto"/>
        <w:left w:val="none" w:sz="0" w:space="0" w:color="auto"/>
        <w:bottom w:val="none" w:sz="0" w:space="0" w:color="auto"/>
        <w:right w:val="none" w:sz="0" w:space="0" w:color="auto"/>
      </w:divBdr>
    </w:div>
    <w:div w:id="1926111084">
      <w:bodyDiv w:val="1"/>
      <w:marLeft w:val="0"/>
      <w:marRight w:val="0"/>
      <w:marTop w:val="0"/>
      <w:marBottom w:val="0"/>
      <w:divBdr>
        <w:top w:val="none" w:sz="0" w:space="0" w:color="auto"/>
        <w:left w:val="none" w:sz="0" w:space="0" w:color="auto"/>
        <w:bottom w:val="none" w:sz="0" w:space="0" w:color="auto"/>
        <w:right w:val="none" w:sz="0" w:space="0" w:color="auto"/>
      </w:divBdr>
    </w:div>
    <w:div w:id="1935553575">
      <w:bodyDiv w:val="1"/>
      <w:marLeft w:val="0"/>
      <w:marRight w:val="0"/>
      <w:marTop w:val="0"/>
      <w:marBottom w:val="0"/>
      <w:divBdr>
        <w:top w:val="none" w:sz="0" w:space="0" w:color="auto"/>
        <w:left w:val="none" w:sz="0" w:space="0" w:color="auto"/>
        <w:bottom w:val="none" w:sz="0" w:space="0" w:color="auto"/>
        <w:right w:val="none" w:sz="0" w:space="0" w:color="auto"/>
      </w:divBdr>
    </w:div>
    <w:div w:id="1935627172">
      <w:bodyDiv w:val="1"/>
      <w:marLeft w:val="0"/>
      <w:marRight w:val="0"/>
      <w:marTop w:val="0"/>
      <w:marBottom w:val="0"/>
      <w:divBdr>
        <w:top w:val="none" w:sz="0" w:space="0" w:color="auto"/>
        <w:left w:val="none" w:sz="0" w:space="0" w:color="auto"/>
        <w:bottom w:val="none" w:sz="0" w:space="0" w:color="auto"/>
        <w:right w:val="none" w:sz="0" w:space="0" w:color="auto"/>
      </w:divBdr>
      <w:divsChild>
        <w:div w:id="20605197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10729274">
              <w:marLeft w:val="0"/>
              <w:marRight w:val="0"/>
              <w:marTop w:val="0"/>
              <w:marBottom w:val="0"/>
              <w:divBdr>
                <w:top w:val="none" w:sz="0" w:space="0" w:color="auto"/>
                <w:left w:val="none" w:sz="0" w:space="0" w:color="auto"/>
                <w:bottom w:val="none" w:sz="0" w:space="0" w:color="auto"/>
                <w:right w:val="none" w:sz="0" w:space="0" w:color="auto"/>
              </w:divBdr>
              <w:divsChild>
                <w:div w:id="1764760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335172">
      <w:bodyDiv w:val="1"/>
      <w:marLeft w:val="0"/>
      <w:marRight w:val="0"/>
      <w:marTop w:val="0"/>
      <w:marBottom w:val="0"/>
      <w:divBdr>
        <w:top w:val="none" w:sz="0" w:space="0" w:color="auto"/>
        <w:left w:val="none" w:sz="0" w:space="0" w:color="auto"/>
        <w:bottom w:val="none" w:sz="0" w:space="0" w:color="auto"/>
        <w:right w:val="none" w:sz="0" w:space="0" w:color="auto"/>
      </w:divBdr>
    </w:div>
    <w:div w:id="1961262122">
      <w:bodyDiv w:val="1"/>
      <w:marLeft w:val="0"/>
      <w:marRight w:val="0"/>
      <w:marTop w:val="0"/>
      <w:marBottom w:val="0"/>
      <w:divBdr>
        <w:top w:val="none" w:sz="0" w:space="0" w:color="auto"/>
        <w:left w:val="none" w:sz="0" w:space="0" w:color="auto"/>
        <w:bottom w:val="none" w:sz="0" w:space="0" w:color="auto"/>
        <w:right w:val="none" w:sz="0" w:space="0" w:color="auto"/>
      </w:divBdr>
    </w:div>
    <w:div w:id="1963417653">
      <w:bodyDiv w:val="1"/>
      <w:marLeft w:val="0"/>
      <w:marRight w:val="0"/>
      <w:marTop w:val="0"/>
      <w:marBottom w:val="0"/>
      <w:divBdr>
        <w:top w:val="none" w:sz="0" w:space="0" w:color="auto"/>
        <w:left w:val="none" w:sz="0" w:space="0" w:color="auto"/>
        <w:bottom w:val="none" w:sz="0" w:space="0" w:color="auto"/>
        <w:right w:val="none" w:sz="0" w:space="0" w:color="auto"/>
      </w:divBdr>
    </w:div>
    <w:div w:id="1976181474">
      <w:bodyDiv w:val="1"/>
      <w:marLeft w:val="0"/>
      <w:marRight w:val="0"/>
      <w:marTop w:val="0"/>
      <w:marBottom w:val="0"/>
      <w:divBdr>
        <w:top w:val="none" w:sz="0" w:space="0" w:color="auto"/>
        <w:left w:val="none" w:sz="0" w:space="0" w:color="auto"/>
        <w:bottom w:val="none" w:sz="0" w:space="0" w:color="auto"/>
        <w:right w:val="none" w:sz="0" w:space="0" w:color="auto"/>
      </w:divBdr>
    </w:div>
    <w:div w:id="1979609579">
      <w:bodyDiv w:val="1"/>
      <w:marLeft w:val="0"/>
      <w:marRight w:val="0"/>
      <w:marTop w:val="0"/>
      <w:marBottom w:val="0"/>
      <w:divBdr>
        <w:top w:val="none" w:sz="0" w:space="0" w:color="auto"/>
        <w:left w:val="none" w:sz="0" w:space="0" w:color="auto"/>
        <w:bottom w:val="none" w:sz="0" w:space="0" w:color="auto"/>
        <w:right w:val="none" w:sz="0" w:space="0" w:color="auto"/>
      </w:divBdr>
    </w:div>
    <w:div w:id="1997604340">
      <w:bodyDiv w:val="1"/>
      <w:marLeft w:val="0"/>
      <w:marRight w:val="0"/>
      <w:marTop w:val="0"/>
      <w:marBottom w:val="0"/>
      <w:divBdr>
        <w:top w:val="none" w:sz="0" w:space="0" w:color="auto"/>
        <w:left w:val="none" w:sz="0" w:space="0" w:color="auto"/>
        <w:bottom w:val="none" w:sz="0" w:space="0" w:color="auto"/>
        <w:right w:val="none" w:sz="0" w:space="0" w:color="auto"/>
      </w:divBdr>
    </w:div>
    <w:div w:id="2009747365">
      <w:bodyDiv w:val="1"/>
      <w:marLeft w:val="0"/>
      <w:marRight w:val="0"/>
      <w:marTop w:val="0"/>
      <w:marBottom w:val="0"/>
      <w:divBdr>
        <w:top w:val="none" w:sz="0" w:space="0" w:color="auto"/>
        <w:left w:val="none" w:sz="0" w:space="0" w:color="auto"/>
        <w:bottom w:val="none" w:sz="0" w:space="0" w:color="auto"/>
        <w:right w:val="none" w:sz="0" w:space="0" w:color="auto"/>
      </w:divBdr>
    </w:div>
    <w:div w:id="2035879860">
      <w:bodyDiv w:val="1"/>
      <w:marLeft w:val="0"/>
      <w:marRight w:val="0"/>
      <w:marTop w:val="0"/>
      <w:marBottom w:val="0"/>
      <w:divBdr>
        <w:top w:val="none" w:sz="0" w:space="0" w:color="auto"/>
        <w:left w:val="none" w:sz="0" w:space="0" w:color="auto"/>
        <w:bottom w:val="none" w:sz="0" w:space="0" w:color="auto"/>
        <w:right w:val="none" w:sz="0" w:space="0" w:color="auto"/>
      </w:divBdr>
      <w:divsChild>
        <w:div w:id="1552617847">
          <w:marLeft w:val="0"/>
          <w:marRight w:val="0"/>
          <w:marTop w:val="0"/>
          <w:marBottom w:val="0"/>
          <w:divBdr>
            <w:top w:val="none" w:sz="0" w:space="0" w:color="auto"/>
            <w:left w:val="none" w:sz="0" w:space="0" w:color="auto"/>
            <w:bottom w:val="none" w:sz="0" w:space="0" w:color="auto"/>
            <w:right w:val="none" w:sz="0" w:space="0" w:color="auto"/>
          </w:divBdr>
        </w:div>
        <w:div w:id="301351067">
          <w:marLeft w:val="0"/>
          <w:marRight w:val="0"/>
          <w:marTop w:val="0"/>
          <w:marBottom w:val="0"/>
          <w:divBdr>
            <w:top w:val="none" w:sz="0" w:space="0" w:color="auto"/>
            <w:left w:val="none" w:sz="0" w:space="0" w:color="auto"/>
            <w:bottom w:val="none" w:sz="0" w:space="0" w:color="auto"/>
            <w:right w:val="none" w:sz="0" w:space="0" w:color="auto"/>
          </w:divBdr>
        </w:div>
        <w:div w:id="647326130">
          <w:marLeft w:val="0"/>
          <w:marRight w:val="0"/>
          <w:marTop w:val="0"/>
          <w:marBottom w:val="0"/>
          <w:divBdr>
            <w:top w:val="none" w:sz="0" w:space="0" w:color="auto"/>
            <w:left w:val="none" w:sz="0" w:space="0" w:color="auto"/>
            <w:bottom w:val="none" w:sz="0" w:space="0" w:color="auto"/>
            <w:right w:val="none" w:sz="0" w:space="0" w:color="auto"/>
          </w:divBdr>
        </w:div>
        <w:div w:id="44373514">
          <w:marLeft w:val="0"/>
          <w:marRight w:val="0"/>
          <w:marTop w:val="0"/>
          <w:marBottom w:val="0"/>
          <w:divBdr>
            <w:top w:val="none" w:sz="0" w:space="0" w:color="auto"/>
            <w:left w:val="none" w:sz="0" w:space="0" w:color="auto"/>
            <w:bottom w:val="none" w:sz="0" w:space="0" w:color="auto"/>
            <w:right w:val="none" w:sz="0" w:space="0" w:color="auto"/>
          </w:divBdr>
        </w:div>
      </w:divsChild>
    </w:div>
    <w:div w:id="2037198666">
      <w:bodyDiv w:val="1"/>
      <w:marLeft w:val="0"/>
      <w:marRight w:val="0"/>
      <w:marTop w:val="0"/>
      <w:marBottom w:val="0"/>
      <w:divBdr>
        <w:top w:val="none" w:sz="0" w:space="0" w:color="auto"/>
        <w:left w:val="none" w:sz="0" w:space="0" w:color="auto"/>
        <w:bottom w:val="none" w:sz="0" w:space="0" w:color="auto"/>
        <w:right w:val="none" w:sz="0" w:space="0" w:color="auto"/>
      </w:divBdr>
    </w:div>
    <w:div w:id="2074233005">
      <w:bodyDiv w:val="1"/>
      <w:marLeft w:val="0"/>
      <w:marRight w:val="0"/>
      <w:marTop w:val="0"/>
      <w:marBottom w:val="0"/>
      <w:divBdr>
        <w:top w:val="none" w:sz="0" w:space="0" w:color="auto"/>
        <w:left w:val="none" w:sz="0" w:space="0" w:color="auto"/>
        <w:bottom w:val="none" w:sz="0" w:space="0" w:color="auto"/>
        <w:right w:val="none" w:sz="0" w:space="0" w:color="auto"/>
      </w:divBdr>
    </w:div>
    <w:div w:id="2079933726">
      <w:bodyDiv w:val="1"/>
      <w:marLeft w:val="0"/>
      <w:marRight w:val="0"/>
      <w:marTop w:val="0"/>
      <w:marBottom w:val="0"/>
      <w:divBdr>
        <w:top w:val="none" w:sz="0" w:space="0" w:color="auto"/>
        <w:left w:val="none" w:sz="0" w:space="0" w:color="auto"/>
        <w:bottom w:val="none" w:sz="0" w:space="0" w:color="auto"/>
        <w:right w:val="none" w:sz="0" w:space="0" w:color="auto"/>
      </w:divBdr>
    </w:div>
    <w:div w:id="2110464451">
      <w:bodyDiv w:val="1"/>
      <w:marLeft w:val="0"/>
      <w:marRight w:val="0"/>
      <w:marTop w:val="0"/>
      <w:marBottom w:val="0"/>
      <w:divBdr>
        <w:top w:val="none" w:sz="0" w:space="0" w:color="auto"/>
        <w:left w:val="none" w:sz="0" w:space="0" w:color="auto"/>
        <w:bottom w:val="none" w:sz="0" w:space="0" w:color="auto"/>
        <w:right w:val="none" w:sz="0" w:space="0" w:color="auto"/>
      </w:divBdr>
    </w:div>
    <w:div w:id="2114205952">
      <w:bodyDiv w:val="1"/>
      <w:marLeft w:val="0"/>
      <w:marRight w:val="0"/>
      <w:marTop w:val="0"/>
      <w:marBottom w:val="0"/>
      <w:divBdr>
        <w:top w:val="none" w:sz="0" w:space="0" w:color="auto"/>
        <w:left w:val="none" w:sz="0" w:space="0" w:color="auto"/>
        <w:bottom w:val="none" w:sz="0" w:space="0" w:color="auto"/>
        <w:right w:val="none" w:sz="0" w:space="0" w:color="auto"/>
      </w:divBdr>
    </w:div>
    <w:div w:id="2118673589">
      <w:bodyDiv w:val="1"/>
      <w:marLeft w:val="0"/>
      <w:marRight w:val="0"/>
      <w:marTop w:val="0"/>
      <w:marBottom w:val="0"/>
      <w:divBdr>
        <w:top w:val="none" w:sz="0" w:space="0" w:color="auto"/>
        <w:left w:val="none" w:sz="0" w:space="0" w:color="auto"/>
        <w:bottom w:val="none" w:sz="0" w:space="0" w:color="auto"/>
        <w:right w:val="none" w:sz="0" w:space="0" w:color="auto"/>
      </w:divBdr>
    </w:div>
    <w:div w:id="2137554879">
      <w:bodyDiv w:val="1"/>
      <w:marLeft w:val="0"/>
      <w:marRight w:val="0"/>
      <w:marTop w:val="0"/>
      <w:marBottom w:val="0"/>
      <w:divBdr>
        <w:top w:val="none" w:sz="0" w:space="0" w:color="auto"/>
        <w:left w:val="none" w:sz="0" w:space="0" w:color="auto"/>
        <w:bottom w:val="none" w:sz="0" w:space="0" w:color="auto"/>
        <w:right w:val="none" w:sz="0" w:space="0" w:color="auto"/>
      </w:divBdr>
    </w:div>
    <w:div w:id="2139106067">
      <w:bodyDiv w:val="1"/>
      <w:marLeft w:val="0"/>
      <w:marRight w:val="0"/>
      <w:marTop w:val="0"/>
      <w:marBottom w:val="0"/>
      <w:divBdr>
        <w:top w:val="none" w:sz="0" w:space="0" w:color="auto"/>
        <w:left w:val="none" w:sz="0" w:space="0" w:color="auto"/>
        <w:bottom w:val="none" w:sz="0" w:space="0" w:color="auto"/>
        <w:right w:val="none" w:sz="0" w:space="0" w:color="auto"/>
      </w:divBdr>
    </w:div>
    <w:div w:id="2147115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stallkamp@vt.edu" TargetMode="External"/><Relationship Id="rId13" Type="http://schemas.openxmlformats.org/officeDocument/2006/relationships/hyperlink" Target="https://www.theinformation.com/articles/the-people-behind-bytedances-app-factory" TargetMode="External"/><Relationship Id="rId18" Type="http://schemas.openxmlformats.org/officeDocument/2006/relationships/header" Target="header3.xml"/><Relationship Id="rId26" Type="http://schemas.openxmlformats.org/officeDocument/2006/relationships/image" Target="media/image1.emf"/><Relationship Id="rId3" Type="http://schemas.openxmlformats.org/officeDocument/2006/relationships/styles" Target="styles.xml"/><Relationship Id="rId21"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hyperlink" Target="https://medium.com/craft-ventures/the-gross-margin-problem-lessons-for-tech-enabled-startups-e2aefab8a0d4" TargetMode="External"/><Relationship Id="rId17" Type="http://schemas.openxmlformats.org/officeDocument/2006/relationships/footer" Target="footer2.xml"/><Relationship Id="rId25"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header" Target="header4.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forbes.com/sites/johnkoetsier/2020/06/09/300000-facebook-content-moderation-mistakes-daily-report-says/%232be212f254d0" TargetMode="External"/><Relationship Id="rId24" Type="http://schemas.openxmlformats.org/officeDocument/2006/relationships/header" Target="header6.xml"/><Relationship Id="rId5" Type="http://schemas.openxmlformats.org/officeDocument/2006/relationships/webSettings" Target="webSettings.xml"/><Relationship Id="rId15" Type="http://schemas.openxmlformats.org/officeDocument/2006/relationships/header" Target="header2.xml"/><Relationship Id="rId23" Type="http://schemas.openxmlformats.org/officeDocument/2006/relationships/footer" Target="footer5.xml"/><Relationship Id="rId28" Type="http://schemas.openxmlformats.org/officeDocument/2006/relationships/fontTable" Target="fontTable.xml"/><Relationship Id="rId10" Type="http://schemas.openxmlformats.org/officeDocument/2006/relationships/hyperlink" Target="mailto:aschotter@ivey.ca"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mailto:rickhunt@vt.edu" TargetMode="External"/><Relationship Id="rId14" Type="http://schemas.openxmlformats.org/officeDocument/2006/relationships/header" Target="header1.xml"/><Relationship Id="rId22" Type="http://schemas.openxmlformats.org/officeDocument/2006/relationships/footer" Target="footer4.xml"/><Relationship Id="rId27"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BFCB58-D713-F94D-874B-4571F12EFE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44</Pages>
  <Words>13422</Words>
  <Characters>76512</Characters>
  <Application>Microsoft Office Word</Application>
  <DocSecurity>0</DocSecurity>
  <Lines>637</Lines>
  <Paragraphs>179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Stallkamp, Max</dc:creator>
  <cp:keywords/>
  <dc:description/>
  <cp:lastModifiedBy>Microsoft Office User</cp:lastModifiedBy>
  <cp:revision>2</cp:revision>
  <cp:lastPrinted>2022-03-22T14:03:00Z</cp:lastPrinted>
  <dcterms:created xsi:type="dcterms:W3CDTF">2022-03-25T16:09:00Z</dcterms:created>
  <dcterms:modified xsi:type="dcterms:W3CDTF">2022-03-25T16:09:00Z</dcterms:modified>
</cp:coreProperties>
</file>